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CE" w:rsidRPr="002A7A35" w:rsidRDefault="00D617CE">
      <w:pPr>
        <w:pStyle w:val="ConsPlusNormal"/>
        <w:jc w:val="both"/>
        <w:outlineLvl w:val="0"/>
      </w:pPr>
      <w:bookmarkStart w:id="0" w:name="_GoBack"/>
      <w:bookmarkEnd w:id="0"/>
    </w:p>
    <w:p w:rsidR="00D617CE" w:rsidRPr="002A7A35" w:rsidRDefault="00D617CE">
      <w:pPr>
        <w:pStyle w:val="ConsPlusTitle"/>
        <w:jc w:val="center"/>
        <w:outlineLvl w:val="0"/>
      </w:pPr>
      <w:r w:rsidRPr="002A7A35">
        <w:t>ПРАВИТЕЛЬСТВО РОССИЙСКОЙ ФЕДЕРАЦИИ</w:t>
      </w:r>
    </w:p>
    <w:p w:rsidR="00D617CE" w:rsidRPr="002A7A35" w:rsidRDefault="00D617CE">
      <w:pPr>
        <w:pStyle w:val="ConsPlusTitle"/>
        <w:jc w:val="both"/>
      </w:pPr>
    </w:p>
    <w:p w:rsidR="00D617CE" w:rsidRPr="002A7A35" w:rsidRDefault="00D617CE">
      <w:pPr>
        <w:pStyle w:val="ConsPlusTitle"/>
        <w:jc w:val="center"/>
      </w:pPr>
      <w:r w:rsidRPr="002A7A35">
        <w:t>ПОСТАНОВЛЕНИЕ</w:t>
      </w:r>
    </w:p>
    <w:p w:rsidR="00D617CE" w:rsidRPr="002A7A35" w:rsidRDefault="00D617CE">
      <w:pPr>
        <w:pStyle w:val="ConsPlusTitle"/>
        <w:jc w:val="center"/>
      </w:pPr>
      <w:r w:rsidRPr="002A7A35">
        <w:t>от 28 мая 2022 г. N 980</w:t>
      </w:r>
    </w:p>
    <w:p w:rsidR="00D617CE" w:rsidRPr="002A7A35" w:rsidRDefault="00D617CE">
      <w:pPr>
        <w:pStyle w:val="ConsPlusTitle"/>
        <w:jc w:val="both"/>
      </w:pPr>
    </w:p>
    <w:p w:rsidR="00D617CE" w:rsidRPr="002A7A35" w:rsidRDefault="00D617CE">
      <w:pPr>
        <w:pStyle w:val="ConsPlusTitle"/>
        <w:jc w:val="center"/>
      </w:pPr>
      <w:r w:rsidRPr="002A7A35">
        <w:t>О НЕКОТОРЫХ ВОПРОСАХ</w:t>
      </w:r>
    </w:p>
    <w:p w:rsidR="00D617CE" w:rsidRPr="002A7A35" w:rsidRDefault="00D617CE">
      <w:pPr>
        <w:pStyle w:val="ConsPlusTitle"/>
        <w:jc w:val="center"/>
      </w:pPr>
      <w:r w:rsidRPr="002A7A35">
        <w:t>ЛИЦЕНЗИРОВАНИЯ ДЕЯТЕЛЬНОСТИ ПО ЗАГОТОВКЕ, ХРАНЕНИЮ,</w:t>
      </w:r>
    </w:p>
    <w:p w:rsidR="00D617CE" w:rsidRPr="002A7A35" w:rsidRDefault="00D617CE">
      <w:pPr>
        <w:pStyle w:val="ConsPlusTitle"/>
        <w:jc w:val="center"/>
      </w:pPr>
      <w:r w:rsidRPr="002A7A35">
        <w:t>ПЕРЕРАБОТКЕ И РЕАЛИЗАЦИИ ЛОМА ЧЕРНЫХ И ЦВЕТНЫХ МЕТАЛЛОВ,</w:t>
      </w:r>
    </w:p>
    <w:p w:rsidR="00D617CE" w:rsidRPr="002A7A35" w:rsidRDefault="00D617CE">
      <w:pPr>
        <w:pStyle w:val="ConsPlusTitle"/>
        <w:jc w:val="center"/>
      </w:pPr>
      <w:r w:rsidRPr="002A7A35">
        <w:t>А ТАКЖЕ ОБРАЩЕНИЯ С ЛОМОМ И ОТХОДАМИ ЧЕРНЫХ И ЦВЕТНЫХ</w:t>
      </w:r>
    </w:p>
    <w:p w:rsidR="00D617CE" w:rsidRPr="002A7A35" w:rsidRDefault="00D617CE">
      <w:pPr>
        <w:pStyle w:val="ConsPlusTitle"/>
        <w:jc w:val="center"/>
      </w:pPr>
      <w:r w:rsidRPr="002A7A35">
        <w:t>МЕТАЛЛОВ И ИХ ОТЧУЖДЕНИЯ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ind w:firstLine="540"/>
        <w:jc w:val="both"/>
      </w:pPr>
      <w:r w:rsidRPr="002A7A35">
        <w:t>Правительство Российской Федерации постановляет: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1. Утвердить прилагаемые: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w:anchor="P42">
        <w:r w:rsidR="00D617CE" w:rsidRPr="002A7A35">
          <w:t>Положение</w:t>
        </w:r>
      </w:hyperlink>
      <w:r w:rsidR="00D617CE" w:rsidRPr="002A7A35">
        <w:t xml:space="preserve"> о лицензировании деятельности по заготовке, хранению, переработке и реализации лома черных и цветных металлов;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w:anchor="P214">
        <w:r w:rsidR="00D617CE" w:rsidRPr="002A7A35">
          <w:t>Правила</w:t>
        </w:r>
      </w:hyperlink>
      <w:r w:rsidR="00D617CE" w:rsidRPr="002A7A35">
        <w:t xml:space="preserve"> обращения с ломом и отходами черных и цветных металлов и их отчуждения.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2. Признать утратившими силу: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4">
        <w:r w:rsidR="00D617CE" w:rsidRPr="002A7A35">
          <w:t>постановление</w:t>
        </w:r>
      </w:hyperlink>
      <w:r w:rsidR="00D617CE" w:rsidRPr="002A7A35">
        <w:t xml:space="preserve"> Правительства Российской Федерации от 11 мая 2001 г. N 369 "Об утверждении Правил обращения с ломом и отходами черных металлов и их отчуждения" (Собрание законодательства Российской Федерации, 2001, N 21, ст. 2083);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5">
        <w:r w:rsidR="00D617CE" w:rsidRPr="002A7A35">
          <w:t>постановление</w:t>
        </w:r>
      </w:hyperlink>
      <w:r w:rsidR="00D617CE" w:rsidRPr="002A7A35">
        <w:t xml:space="preserve"> Правительства Российской Федерации от 11 мая 2001 г. N 370 "Об утверждении Правил обращения с ломом и отходами цветных металлов и их отчуждения" (Собрание законодательства Российской Федерации, 2001, N 21, ст. 2084);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6">
        <w:r w:rsidR="00D617CE" w:rsidRPr="002A7A35">
          <w:t>пункт 92</w:t>
        </w:r>
      </w:hyperlink>
      <w:r w:rsidR="00D617CE" w:rsidRPr="002A7A35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7">
        <w:r w:rsidR="00D617CE" w:rsidRPr="002A7A35">
          <w:t>пункт 11</w:t>
        </w:r>
      </w:hyperlink>
      <w:r w:rsidR="00D617CE" w:rsidRPr="002A7A35"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постановлением Правительства Российской Федерации от 15 февраля 2011 г. N 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 (Собрание законодательства Российской Федерации, 2011, N 9, ст. 1246);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8">
        <w:r w:rsidR="00D617CE" w:rsidRPr="002A7A35">
          <w:t>постановление</w:t>
        </w:r>
      </w:hyperlink>
      <w:r w:rsidR="00D617CE" w:rsidRPr="002A7A35">
        <w:t xml:space="preserve">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9">
        <w:r w:rsidR="00D617CE" w:rsidRPr="002A7A35">
          <w:t>пункт 3</w:t>
        </w:r>
      </w:hyperlink>
      <w:r w:rsidR="00D617CE" w:rsidRPr="002A7A35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2016 г. N 1338 "О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N 51, ст. 7390);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10">
        <w:r w:rsidR="00D617CE" w:rsidRPr="002A7A35">
          <w:t>постановление</w:t>
        </w:r>
      </w:hyperlink>
      <w:r w:rsidR="00D617CE" w:rsidRPr="002A7A35">
        <w:t xml:space="preserve"> Правительства Российской Федерации от 15 декабря 2016 г. N 1367 "О внесении изменений в некоторые акты Правительства Российской Федерации" (Собрание законодательства Российской Федерации, 2016, N 52, ст. 7636);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11">
        <w:r w:rsidR="00D617CE" w:rsidRPr="002A7A35">
          <w:t>постановление</w:t>
        </w:r>
      </w:hyperlink>
      <w:r w:rsidR="00D617CE" w:rsidRPr="002A7A35">
        <w:t xml:space="preserve"> Правительства Российской Федерации от 7 октября 2020 г. N 1619 "О внесении изменений в некоторые акты Правительства Российской Федерации по вопросам обращения с </w:t>
      </w:r>
      <w:r w:rsidR="00D617CE" w:rsidRPr="002A7A35">
        <w:lastRenderedPageBreak/>
        <w:t>ломом черных и цветных металлов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N 42, ст. 6585);</w:t>
      </w:r>
    </w:p>
    <w:p w:rsidR="00D617CE" w:rsidRPr="002A7A35" w:rsidRDefault="0058319B">
      <w:pPr>
        <w:pStyle w:val="ConsPlusNormal"/>
        <w:spacing w:before="200"/>
        <w:ind w:firstLine="540"/>
        <w:jc w:val="both"/>
      </w:pPr>
      <w:hyperlink r:id="rId12">
        <w:r w:rsidR="00D617CE" w:rsidRPr="002A7A35">
          <w:t>постановление</w:t>
        </w:r>
      </w:hyperlink>
      <w:r w:rsidR="00D617CE" w:rsidRPr="002A7A35">
        <w:t xml:space="preserve"> Правительства Российской Федерации от 26 февраля 2022 г. N 237 "О внесении изменений в некоторые акты Правительства Российской Федерации" (Собрание законодательства Российской Федерации, 2022, N 10, ст. 1494).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3. </w:t>
      </w:r>
      <w:hyperlink r:id="rId13">
        <w:r w:rsidRPr="002A7A35">
          <w:t>Пункты 688</w:t>
        </w:r>
      </w:hyperlink>
      <w:r w:rsidRPr="002A7A35">
        <w:t xml:space="preserve"> и </w:t>
      </w:r>
      <w:hyperlink r:id="rId14">
        <w:r w:rsidRPr="002A7A35">
          <w:t>689</w:t>
        </w:r>
      </w:hyperlink>
      <w:r w:rsidRPr="002A7A35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4. Настоящее постановление вступает в силу с 1 сентября 2022 г. и действует до 1 сентября 2028 г.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</w:pPr>
      <w:r w:rsidRPr="002A7A35">
        <w:t>Председатель Правительства</w:t>
      </w:r>
    </w:p>
    <w:p w:rsidR="00D617CE" w:rsidRPr="002A7A35" w:rsidRDefault="00D617CE">
      <w:pPr>
        <w:pStyle w:val="ConsPlusNormal"/>
        <w:jc w:val="right"/>
      </w:pPr>
      <w:r w:rsidRPr="002A7A35">
        <w:t>Российской Федерации</w:t>
      </w:r>
    </w:p>
    <w:p w:rsidR="00D617CE" w:rsidRPr="002A7A35" w:rsidRDefault="00D617CE">
      <w:pPr>
        <w:pStyle w:val="ConsPlusNormal"/>
        <w:jc w:val="right"/>
      </w:pPr>
      <w:r w:rsidRPr="002A7A35">
        <w:t>М.МИШУСТИН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  <w:outlineLvl w:val="0"/>
      </w:pPr>
      <w:r w:rsidRPr="002A7A35">
        <w:t>Утверждено</w:t>
      </w:r>
    </w:p>
    <w:p w:rsidR="00D617CE" w:rsidRPr="002A7A35" w:rsidRDefault="00D617CE">
      <w:pPr>
        <w:pStyle w:val="ConsPlusNormal"/>
        <w:jc w:val="right"/>
      </w:pPr>
      <w:r w:rsidRPr="002A7A35">
        <w:t>постановлением Правительства</w:t>
      </w:r>
    </w:p>
    <w:p w:rsidR="00D617CE" w:rsidRPr="002A7A35" w:rsidRDefault="00D617CE">
      <w:pPr>
        <w:pStyle w:val="ConsPlusNormal"/>
        <w:jc w:val="right"/>
      </w:pPr>
      <w:r w:rsidRPr="002A7A35">
        <w:t>Российской Федерации</w:t>
      </w:r>
    </w:p>
    <w:p w:rsidR="00D617CE" w:rsidRPr="002A7A35" w:rsidRDefault="00D617CE">
      <w:pPr>
        <w:pStyle w:val="ConsPlusNormal"/>
        <w:jc w:val="right"/>
      </w:pPr>
      <w:r w:rsidRPr="002A7A35">
        <w:t>от 28 мая 2022 г. N 980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Title"/>
        <w:jc w:val="center"/>
      </w:pPr>
      <w:bookmarkStart w:id="1" w:name="P42"/>
      <w:bookmarkEnd w:id="1"/>
      <w:r w:rsidRPr="002A7A35">
        <w:t>ПОЛОЖЕНИЕ</w:t>
      </w:r>
    </w:p>
    <w:p w:rsidR="00D617CE" w:rsidRPr="002A7A35" w:rsidRDefault="00D617CE">
      <w:pPr>
        <w:pStyle w:val="ConsPlusTitle"/>
        <w:jc w:val="center"/>
      </w:pPr>
      <w:r w:rsidRPr="002A7A35">
        <w:t>О ЛИЦЕНЗИРОВАНИИ ДЕЯТЕЛЬНОСТИ ПО ЗАГОТОВКЕ, ХРАНЕНИЮ,</w:t>
      </w:r>
    </w:p>
    <w:p w:rsidR="00D617CE" w:rsidRPr="002A7A35" w:rsidRDefault="00D617CE">
      <w:pPr>
        <w:pStyle w:val="ConsPlusTitle"/>
        <w:jc w:val="center"/>
      </w:pPr>
      <w:r w:rsidRPr="002A7A35">
        <w:t>ПЕРЕРАБОТКЕ И РЕАЛИЗАЦИИ ЛОМА ЧЕРНЫХ И ЦВЕТНЫХ МЕТАЛЛОВ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Title"/>
        <w:jc w:val="center"/>
        <w:outlineLvl w:val="1"/>
      </w:pPr>
      <w:r w:rsidRPr="002A7A35">
        <w:t>I. Общие положения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ind w:firstLine="540"/>
        <w:jc w:val="both"/>
      </w:pPr>
      <w:r w:rsidRPr="002A7A35">
        <w:t>1. Настоящее Положение устанавливает порядок лицензирования деятельности по заготовке, хранению, переработке и реализации лома черных и цветных металлов, осуществляемой юридическими лицами и индивидуальными предпринимателями, и порядок организации и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(далее - лицензионный контроль).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Настоящее Положение не распространяется на реализацию лома черных и цветных металлов, образовавшегося у юридических лиц и индивидуальных предпринимателей в процессе собственного производства.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Title"/>
        <w:jc w:val="center"/>
        <w:outlineLvl w:val="1"/>
      </w:pPr>
      <w:r w:rsidRPr="002A7A35">
        <w:t>II. Порядок организации и осуществления лицензирования</w:t>
      </w:r>
    </w:p>
    <w:p w:rsidR="00D617CE" w:rsidRPr="002A7A35" w:rsidRDefault="00D617CE">
      <w:pPr>
        <w:pStyle w:val="ConsPlusTitle"/>
        <w:jc w:val="center"/>
      </w:pPr>
      <w:r w:rsidRPr="002A7A35">
        <w:t>деятельности по заготовке, хранению, переработке</w:t>
      </w:r>
    </w:p>
    <w:p w:rsidR="00D617CE" w:rsidRPr="002A7A35" w:rsidRDefault="00D617CE">
      <w:pPr>
        <w:pStyle w:val="ConsPlusTitle"/>
        <w:jc w:val="center"/>
      </w:pPr>
      <w:r w:rsidRPr="002A7A35">
        <w:t>и реализации лома черных и цветных металлов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ind w:firstLine="540"/>
        <w:jc w:val="both"/>
      </w:pPr>
      <w:r w:rsidRPr="002A7A35">
        <w:t xml:space="preserve">2. Лицензирование деятельности по заготовке, хранению, переработке и реализации лома черных и цветных металлов (далее - лицензируемая деятельность) осуществляется уполномоченными органами исполнительной власти субъектов Российской Федерации в соответствии с Федеральным </w:t>
      </w:r>
      <w:hyperlink r:id="rId15">
        <w:r w:rsidRPr="002A7A35">
          <w:t>законом</w:t>
        </w:r>
      </w:hyperlink>
      <w:r w:rsidRPr="002A7A35">
        <w:t xml:space="preserve"> "О лицензировании отдельных видов деятельности", Федеральным </w:t>
      </w:r>
      <w:hyperlink r:id="rId16">
        <w:r w:rsidRPr="002A7A35">
          <w:t>законом</w:t>
        </w:r>
      </w:hyperlink>
      <w:r w:rsidRPr="002A7A35">
        <w:t xml:space="preserve"> "О государственном контроле (надзоре) и муниципальном контроле в Российской Федерации" и настоящим Положением (далее - лицензирующие органы).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3. Лицензируемая деятельность включает в себя следующие виды работ: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заготовка, хранение, переработка и реализация лома черных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заготовка, хранение, переработка и реализация лома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заготовка, хранение и реализация лома цветных металлов.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4. Используемые в настоящем Положении понятия означают следующее: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"заготовка" - приобретение лома черных и (или) цветных металлов у юридических и физических лиц на возмездной или безвозмездной основе, его последующая сортировка и отбор;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"хранение"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</w:t>
      </w:r>
      <w:hyperlink w:anchor="P214">
        <w:r w:rsidRPr="002A7A35">
          <w:t>Правилами</w:t>
        </w:r>
      </w:hyperlink>
      <w:r w:rsidRPr="002A7A35">
        <w:t xml:space="preserve"> обращения с ломом и отходами черных и цветных металлов и их отчуждения, утвержденными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 обращения с ломом и отходами черных и цветных металлов и их отчуждения) в целях последующей переработки и (или) реализации;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"реализация" - отчуждение заготовленного лома черных и (или) цветных металлов на возмездной или безвозмездной основе.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5. Лицензионными требованиями к осуществлению лицензируемой деятельности являются: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w:anchor="P214">
        <w:r w:rsidRPr="002A7A35">
          <w:t>Правил</w:t>
        </w:r>
      </w:hyperlink>
      <w:r w:rsidRPr="002A7A35">
        <w:t xml:space="preserve"> обращения с ломом и отходами черных и цветных металлов и их отчуждения;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в) наличие у соискателя лицензии условий для выполнения требований </w:t>
      </w:r>
      <w:hyperlink w:anchor="P214">
        <w:r w:rsidRPr="002A7A35">
          <w:t>Правил</w:t>
        </w:r>
      </w:hyperlink>
      <w:r w:rsidRPr="002A7A35">
        <w:t xml:space="preserve"> обращения с ломом и отходами черных и цветных металлов и их отчуждения.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7">
        <w:r w:rsidRPr="002A7A35">
          <w:t>частью 10 статьи 19.2</w:t>
        </w:r>
      </w:hyperlink>
      <w:r w:rsidRPr="002A7A35">
        <w:t xml:space="preserve"> Федерального закона "О лицензировании отдельных видов деятельности", нарушения: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а) требований </w:t>
      </w:r>
      <w:hyperlink w:anchor="P214">
        <w:r w:rsidRPr="002A7A35">
          <w:t>Правил</w:t>
        </w:r>
      </w:hyperlink>
      <w:r w:rsidRPr="002A7A35">
        <w:t xml:space="preserve"> обращения с ломом и отходами черных и цветных металлов и их отчуждения в части приема лома черных и (или) цветных металлов: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без осуществления радиационного контроля;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без осуществления контроля на взрывобезопасность;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б) требований </w:t>
      </w:r>
      <w:hyperlink w:anchor="P214">
        <w:r w:rsidRPr="002A7A35">
          <w:t>Правил</w:t>
        </w:r>
      </w:hyperlink>
      <w:r w:rsidRPr="002A7A35">
        <w:t xml:space="preserve"> обращения с ломом и отходами черных и цветных металлов и их отчуждения в части хранения лома и отходов черных и (или) цветных металлов в пределах </w:t>
      </w:r>
      <w:r w:rsidRPr="002A7A35">
        <w:lastRenderedPageBreak/>
        <w:t>площадки с асфальтовым, бетонным или другим твердым влагостойким покрытием.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7. Представление соискателем лицензии заявления о предоставлении лицензии и документов, необходимых для получения лицензии, представление лицензиатом заявления о внесении изменений в реестр лицензий и документов, необходимых для внесения изменения в реестр лицензий, заявления о прекращении лицензируемой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Федеральным </w:t>
      </w:r>
      <w:hyperlink r:id="rId18">
        <w:r w:rsidRPr="002A7A35">
          <w:t>законом</w:t>
        </w:r>
      </w:hyperlink>
      <w:r w:rsidRPr="002A7A35">
        <w:t xml:space="preserve"> "О лицензировании отдельных видов деятельности".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bookmarkStart w:id="2" w:name="P76"/>
      <w:bookmarkEnd w:id="2"/>
      <w:r w:rsidRPr="002A7A35">
        <w:t xml:space="preserve">8. Для получения лицензии соискатель лицензии представляет в лицензирующий орган в форме электронного документа с использованием Единого портала государственных и муниципальных услуг (функций) заявление о предоставлении лицензии, указанное в </w:t>
      </w:r>
      <w:hyperlink r:id="rId19">
        <w:r w:rsidRPr="002A7A35">
          <w:t>пункте 1 статьи 13</w:t>
        </w:r>
      </w:hyperlink>
      <w:r w:rsidRPr="002A7A35">
        <w:t xml:space="preserve"> Федерального закона "О лицензировании отдельных видов деятельности", документы, указанные в </w:t>
      </w:r>
      <w:hyperlink r:id="rId20">
        <w:r w:rsidRPr="002A7A35">
          <w:t>пункте 3 статьи 13</w:t>
        </w:r>
      </w:hyperlink>
      <w:r w:rsidRPr="002A7A35">
        <w:t xml:space="preserve"> Федерального закона "О лицензировании отдельных видов деятельности", а также следующие документы: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в) копии документов, подтверждающих прохождение соответствующей подготовки и аттестации лиц в соответствии с требованиями </w:t>
      </w:r>
      <w:hyperlink w:anchor="P214">
        <w:r w:rsidRPr="002A7A35">
          <w:t>Правил</w:t>
        </w:r>
      </w:hyperlink>
      <w:r w:rsidRPr="002A7A35">
        <w:t xml:space="preserve"> обращения с ломом и отходами черных и цветных металлов и их отчуждения;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г)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</w:t>
      </w:r>
      <w:hyperlink w:anchor="P214">
        <w:r w:rsidRPr="002A7A35">
          <w:t>Правил</w:t>
        </w:r>
      </w:hyperlink>
      <w:r w:rsidRPr="002A7A35">
        <w:t xml:space="preserve"> обращения с ломом и отходами черных и цветных металлов и их отчуждения.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9. Лицензирующий орган осуществляет проверку полноты и достоверности сведений, содержащихся в указанных в </w:t>
      </w:r>
      <w:hyperlink w:anchor="P76">
        <w:r w:rsidRPr="002A7A35">
          <w:t>пункте 8</w:t>
        </w:r>
      </w:hyperlink>
      <w:r w:rsidRPr="002A7A35">
        <w:t xml:space="preserve">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35 рабочих дней со дня приема заявления о предоставлении лицензии и прилагаемых к нему документов.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bookmarkStart w:id="3" w:name="P82"/>
      <w:bookmarkEnd w:id="3"/>
      <w:r w:rsidRPr="002A7A35">
        <w:t xml:space="preserve">10. При намерении лицензиата осуществлять лицензируемую деятельность по новому 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w:anchor="P76">
        <w:r w:rsidRPr="002A7A35">
          <w:t>пункте 8</w:t>
        </w:r>
      </w:hyperlink>
      <w:r w:rsidRPr="002A7A35">
        <w:t xml:space="preserve"> настоящего Положения, подтверждающие соответствие лицензиата лицензионным требованиям.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11. В отношении соискателя лицензии (лицензиата) в случаях, предусмотренных </w:t>
      </w:r>
      <w:hyperlink w:anchor="P82">
        <w:r w:rsidRPr="002A7A35">
          <w:t>пунктом 10</w:t>
        </w:r>
      </w:hyperlink>
      <w:r w:rsidRPr="002A7A35">
        <w:t xml:space="preserve"> </w:t>
      </w:r>
      <w:r w:rsidRPr="002A7A35">
        <w:lastRenderedPageBreak/>
        <w:t xml:space="preserve">настоящего Положения, проводится оценка соответствия соискателя лицензии (лицензиата) лицензионным требованиям в соответствии с Федеральным </w:t>
      </w:r>
      <w:hyperlink r:id="rId21">
        <w:r w:rsidRPr="002A7A35">
          <w:t>законом</w:t>
        </w:r>
      </w:hyperlink>
      <w:r w:rsidRPr="002A7A35">
        <w:t xml:space="preserve"> "О лицензировании отдельных видов деятельности".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Оценка соответствия соискателя лицензии (лицензиата) лицензионным требованиям проводится в форме выездной оценки.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12.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Федеральным </w:t>
      </w:r>
      <w:hyperlink r:id="rId22">
        <w:r w:rsidRPr="002A7A35">
          <w:t>законом</w:t>
        </w:r>
      </w:hyperlink>
      <w:r w:rsidRPr="002A7A35">
        <w:t xml:space="preserve"> "Об организации предоставления государственных и муниципальных услуг".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13. Ведение реестров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в порядке, установленном </w:t>
      </w:r>
      <w:hyperlink r:id="rId23">
        <w:r w:rsidRPr="002A7A35">
          <w:t>Правилами</w:t>
        </w:r>
      </w:hyperlink>
      <w:r w:rsidRPr="002A7A35">
        <w:t xml:space="preserve"> формирования и ведения реестра лицензий, утвержденными постановлением Правительства Российской Федерации от 29 декабря 2020 г. N 2343 "Об утверждении Правил формирования и ведения реестра лицензий и типовой формы выписки из реестра лицензий".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За предоставление лицензирующим органом лицензии либо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r:id="rId24">
        <w:r w:rsidRPr="002A7A35">
          <w:t>порядке</w:t>
        </w:r>
      </w:hyperlink>
      <w:r w:rsidRPr="002A7A35">
        <w:t xml:space="preserve"> и </w:t>
      </w:r>
      <w:hyperlink r:id="rId25">
        <w:r w:rsidRPr="002A7A35">
          <w:t>размерах</w:t>
        </w:r>
      </w:hyperlink>
      <w:r w:rsidRPr="002A7A35">
        <w:t>, которые установлены законодательством Российской Федерации о налогах и сборах.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Title"/>
        <w:jc w:val="center"/>
        <w:outlineLvl w:val="1"/>
      </w:pPr>
      <w:r w:rsidRPr="002A7A35">
        <w:t>III. Порядок организации и осуществления</w:t>
      </w:r>
    </w:p>
    <w:p w:rsidR="00D617CE" w:rsidRPr="002A7A35" w:rsidRDefault="00D617CE">
      <w:pPr>
        <w:pStyle w:val="ConsPlusTitle"/>
        <w:jc w:val="center"/>
      </w:pPr>
      <w:r w:rsidRPr="002A7A35">
        <w:t>лицензионного контроля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ind w:firstLine="540"/>
        <w:jc w:val="both"/>
      </w:pPr>
      <w:r w:rsidRPr="002A7A35">
        <w:t xml:space="preserve">14. Лицензионный контроль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26">
        <w:r w:rsidRPr="002A7A35">
          <w:t>законом</w:t>
        </w:r>
      </w:hyperlink>
      <w:r w:rsidRPr="002A7A35">
        <w:t xml:space="preserve">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15. Лицензионный контроль осуществляется уполномоченными органами исполнительной власти субъектов Российской Федерации в соответствии с Федеральным </w:t>
      </w:r>
      <w:hyperlink r:id="rId27">
        <w:r w:rsidRPr="002A7A35">
          <w:t>законом</w:t>
        </w:r>
      </w:hyperlink>
      <w:r w:rsidRPr="002A7A35"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16. 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Учет объектов лицензионного контроля осуществляется лицензирующими органами в порядке, установленном Федеральным </w:t>
      </w:r>
      <w:hyperlink r:id="rId28">
        <w:r w:rsidRPr="002A7A35">
          <w:t>законом</w:t>
        </w:r>
      </w:hyperlink>
      <w:r w:rsidRPr="002A7A35">
        <w:t xml:space="preserve"> "О государственном контроле (надзоре) и муниципальном контроле в Российской Федерации" и настоящим Положением, путем ведения реестров объектов лицензионного контроля с использованием государственной информационной системы "Типовое облачное решение по автоматизации контрольной (надзорной) деятельности".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 сборе, обработке и анализе сведений об объектах лицензионного контроля для целей их учета лицензирующий орган использует информацию, предоставленную ему в соответствии с нормативными правовыми актами либо полученную в рамках межведомственного взаимодействия, а также общедоступную информацию.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</w:t>
      </w:r>
      <w:r w:rsidRPr="002A7A35">
        <w:lastRenderedPageBreak/>
        <w:t>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Реестр объектов лицензионного контроля содержит следующую информацию: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полное наименование юридического лица, фамилию, имя и отчество (при наличии) индивидуального предпринимателя;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основной государственный регистрационный номер юридического лица, основной государственный регистрационный номер индивидуального предпринимателя;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место нахождения и место осуществления лицензируемой деятельности юридического лица либо место жительства и место осуществления лицензируемой деятельности индивидуального предпринимателя;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перечень выполняемых работ и оказываемых услуг, составляющих лицензируемую деятельность.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bookmarkStart w:id="4" w:name="P105"/>
      <w:bookmarkEnd w:id="4"/>
      <w:r w:rsidRPr="002A7A35">
        <w:t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иные должностные лица лицензирующего органа, на которых осуществление данного полномочия возложено приказом лицензирующего органа.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29">
        <w:r w:rsidRPr="002A7A35">
          <w:t>частью 2 статьи 29</w:t>
        </w:r>
      </w:hyperlink>
      <w:r w:rsidRPr="002A7A35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21. При осуществлении лицензионного контроля применяется система оценки и управления рисками.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высокий риск;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средний риск;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низкий риск.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 </w:t>
      </w:r>
      <w:hyperlink w:anchor="P118">
        <w:r w:rsidRPr="002A7A35">
          <w:t>пунктом 24</w:t>
        </w:r>
      </w:hyperlink>
      <w:r w:rsidRPr="002A7A35">
        <w:t xml:space="preserve"> настоящего Положения.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"Интернет".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23. Лицензиат вправе подать в лицензирующий орган заявление об изменении категории риска осуществляемой им лицензионной деятельности в случае ее соответствия иной категории риска.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При поступлении сведений о соответствии объекта лицензионного контроля иной категории риска должностным лицом, указанным в </w:t>
      </w:r>
      <w:hyperlink w:anchor="P105">
        <w:r w:rsidRPr="002A7A35">
          <w:t>пункте 18</w:t>
        </w:r>
      </w:hyperlink>
      <w:r w:rsidRPr="002A7A35">
        <w:t xml:space="preserve">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bookmarkStart w:id="5" w:name="P118"/>
      <w:bookmarkEnd w:id="5"/>
      <w:r w:rsidRPr="002A7A35">
        <w:t>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К объектам лицензионного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категориям риска.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25. Организация и проведение контрольных (надзорных) мероприятий, а также оформление их результатов осуществляются в соответствии с требованиями Федерального </w:t>
      </w:r>
      <w:hyperlink r:id="rId30">
        <w:r w:rsidRPr="002A7A35">
          <w:t>закона</w:t>
        </w:r>
      </w:hyperlink>
      <w:r w:rsidRPr="002A7A35">
        <w:t xml:space="preserve">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26. Основания для проведения контрольных (надзорных) мероприятий определены </w:t>
      </w:r>
      <w:hyperlink r:id="rId31">
        <w:r w:rsidRPr="002A7A35">
          <w:t>частью 1 статьи 57</w:t>
        </w:r>
      </w:hyperlink>
      <w:r w:rsidRPr="002A7A35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Федерального </w:t>
      </w:r>
      <w:hyperlink r:id="rId32">
        <w:r w:rsidRPr="002A7A35">
          <w:t>закона</w:t>
        </w:r>
      </w:hyperlink>
      <w:r w:rsidRPr="002A7A35">
        <w:t xml:space="preserve"> "О 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лицензиатами.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случае: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временной нетрудоспособности;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катастрофы природного или техногенного характера, эпидемии, введения чрезвычайного или военного положения;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административного ареста;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для категории высокого риска проводится одно из следующих контрольных (надзорных) мероприятий: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выездная проверка - 1 раз в течение 2 лет;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инспекционный визит - 1 раз в течение 2 лет;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для категории среднего риска проводится одно из следующих контрольных (надзорных) мероприятий: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выездная проверка - 1 раз в течение 3 лет;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инспекционный визит - 1 раз в течение 3 лет.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29. Для категории низкого риска плановые контрольные (надзорные) мероприятия не проводятся.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очередной год, согласованного лицензирующим органом с органами прокуратуры.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31. В ходе выездной проверки могут совершаться следующие контрольные (надзорные) действия: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осмотр;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опрос;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получение письменных объяснений;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истребование документов.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Срок проведения выездной проверки не может превышать 10 рабочих дней.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32. В ходе инспекционного визита могут совершаться следующие контрольные (надзорные) действия: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осмотр;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опрос;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получение письменных объяснений;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33. В ходе документарной проверки могут совершаться следующие контрольные (надзорные) действия: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получение письменных объяснений;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истребование документов.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нарушения лицензионных требований могут использоваться фотосъемка, аудио- и видеозапись, иные способы фиксации доказательств нарушения лицензионных требований.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 осуществлении видеозаписи при проведении контрольных (надзорных) мероприятий фиксируются дата, время и место ее проведения, а также характеристика выявленных нарушений.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Фотосъемка, аудио- и видеозаписи, иные способы фиксации доказательств нарушения лицензионных требований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нарушения лицензионных требований, прилагаются к акту контрольного (надзорного) мероприятия.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35. При осуществлении лицензионного контроля проводятся следующие виды профилактических мероприятий: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информирование;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обобщение правоприменительной практики;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объявление предостережения;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консультирование;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д) профилактический визит.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36. Информирование по вопросу лицензионного контроля осуществляется в порядке, установленном Федеральным </w:t>
      </w:r>
      <w:hyperlink r:id="rId33">
        <w:r w:rsidRPr="002A7A35">
          <w:t>законом</w:t>
        </w:r>
      </w:hyperlink>
      <w:r w:rsidRPr="002A7A35">
        <w:t xml:space="preserve">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37. Обобщение правоприменительной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до 1 марта года, следующего за отчетным. Доклад размещается на официальном сайте лицензирующего органа в информационно-телекоммуникационной сети "Интернет" в течение 15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r:id="rId34">
        <w:r w:rsidRPr="002A7A35">
          <w:t>статьей 50</w:t>
        </w:r>
      </w:hyperlink>
      <w:r w:rsidRPr="002A7A35"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39. Лицензиат уведомляется о проведении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40. 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bookmarkStart w:id="6" w:name="P171"/>
      <w:bookmarkEnd w:id="6"/>
      <w:r w:rsidRPr="002A7A35">
        <w:t>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42. Решение о направлении предостережения принимает руководитель, либо заместитель руководителя лицензирующего органа, либо иное уполномоченное приказом лицензирующего органа должностное лицо лицензирующего органа.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Утверждение и объявление предостережения осуществляется не позднее 5 дней со дня получения уполномоченным должностным лицом лицензирующего органа сведений, указанных в </w:t>
      </w:r>
      <w:hyperlink w:anchor="P171">
        <w:r w:rsidRPr="002A7A35">
          <w:t>пункте 41</w:t>
        </w:r>
      </w:hyperlink>
      <w:r w:rsidRPr="002A7A35">
        <w:t xml:space="preserve"> настоящего Положения.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43. Лицензиат вправе подать в течение 10 дней со дня получения предостережения в лицензирующий орган, направивший предостережение, возражение, в котором указываются: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дата и номер предостережения;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44. Возражения могут направляться лицензиатом в лицензирующий орган: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в бумажном виде почтовым отправлением;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б) на указанный в предостережении адрес электронной почты лицензирующего органа в виде электронного документа, подписанного с использованием простой электронной подписи, ключ которой получен физическим лицом при личной явке в соответствии с </w:t>
      </w:r>
      <w:hyperlink r:id="rId35">
        <w:r w:rsidRPr="002A7A35">
          <w:t>порядком</w:t>
        </w:r>
      </w:hyperlink>
      <w:r w:rsidRPr="002A7A35">
        <w:t xml:space="preserve">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48. Консультирование, включая письменное консультирование, осуществляется по следующим вопросам: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периодичность и порядок проведения контрольных (надзорных) мероприятий;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порядок обжалования решений лицензирующего органа, действий (бездействия) должностных лиц лицензирующего органа;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гарантии и защита прав лицензиатов.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информационно-телекоммуникационной сети "Интернет" письменных разъяснений, подписанных уполномоченным должностным лицом лицензирующего органа.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50. Уполномоченные должностные лица лицензирующих органов осуществляют учет консультаций.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Федерального </w:t>
      </w:r>
      <w:hyperlink r:id="rId36">
        <w:r w:rsidRPr="002A7A35">
          <w:t>закона</w:t>
        </w:r>
      </w:hyperlink>
      <w:r w:rsidRPr="002A7A35">
        <w:t xml:space="preserve"> "О государственном контроле (надзоре) и муниципальном контроле в Российской Федерации".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52. Жалоба на решение лицензирующего органа, действия (бездействие) должностных лиц указанного органа рассматривается руководителем (заместителем руководителя) лицензирующего органа.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день окончания отчетного периода.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Значение ключевого показателя лицензионного контроля (КП) определяется по следующей формуле: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center"/>
      </w:pPr>
      <w:r w:rsidRPr="002A7A35">
        <w:t>КП = (</w:t>
      </w:r>
      <w:proofErr w:type="spellStart"/>
      <w:r w:rsidRPr="002A7A35">
        <w:t>Бn</w:t>
      </w:r>
      <w:proofErr w:type="spellEnd"/>
      <w:r w:rsidRPr="002A7A35">
        <w:t xml:space="preserve"> - </w:t>
      </w:r>
      <w:proofErr w:type="spellStart"/>
      <w:r w:rsidRPr="002A7A35">
        <w:t>Вn</w:t>
      </w:r>
      <w:proofErr w:type="spellEnd"/>
      <w:r w:rsidRPr="002A7A35">
        <w:t xml:space="preserve">) / </w:t>
      </w:r>
      <w:proofErr w:type="spellStart"/>
      <w:r w:rsidRPr="002A7A35">
        <w:t>Аn</w:t>
      </w:r>
      <w:proofErr w:type="spellEnd"/>
      <w:r w:rsidRPr="002A7A35">
        <w:t>,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ind w:firstLine="540"/>
        <w:jc w:val="both"/>
      </w:pPr>
      <w:r w:rsidRPr="002A7A35">
        <w:t>где: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proofErr w:type="spellStart"/>
      <w:r w:rsidRPr="002A7A35">
        <w:t>Бn</w:t>
      </w:r>
      <w:proofErr w:type="spellEnd"/>
      <w:r w:rsidRPr="002A7A35">
        <w:t xml:space="preserve">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proofErr w:type="spellStart"/>
      <w:r w:rsidRPr="002A7A35">
        <w:t>Вn</w:t>
      </w:r>
      <w:proofErr w:type="spellEnd"/>
      <w:r w:rsidRPr="002A7A35">
        <w:t xml:space="preserve"> - количество объектов лицензионного контроля, в отношении которых в отчетном периоде принято решение об их отнесении к более высокой категории риска;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proofErr w:type="spellStart"/>
      <w:r w:rsidRPr="002A7A35">
        <w:t>Аn</w:t>
      </w:r>
      <w:proofErr w:type="spellEnd"/>
      <w:r w:rsidRPr="002A7A35">
        <w:t xml:space="preserve"> - общее количество объектов лицензионного контроля, которым присвоена категория риска, на день окончания отчетного периода.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54. Целевым (плановым) значением ключевого показателя лицензионного контроля признается его положительное значение.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  <w:outlineLvl w:val="0"/>
      </w:pPr>
      <w:r w:rsidRPr="002A7A35">
        <w:t>Утверждены</w:t>
      </w:r>
    </w:p>
    <w:p w:rsidR="00D617CE" w:rsidRPr="002A7A35" w:rsidRDefault="00D617CE">
      <w:pPr>
        <w:pStyle w:val="ConsPlusNormal"/>
        <w:jc w:val="right"/>
      </w:pPr>
      <w:r w:rsidRPr="002A7A35">
        <w:t>постановлением Правительства</w:t>
      </w:r>
    </w:p>
    <w:p w:rsidR="00D617CE" w:rsidRPr="002A7A35" w:rsidRDefault="00D617CE">
      <w:pPr>
        <w:pStyle w:val="ConsPlusNormal"/>
        <w:jc w:val="right"/>
      </w:pPr>
      <w:r w:rsidRPr="002A7A35">
        <w:t>Российской Федерации</w:t>
      </w:r>
    </w:p>
    <w:p w:rsidR="00D617CE" w:rsidRPr="002A7A35" w:rsidRDefault="00D617CE">
      <w:pPr>
        <w:pStyle w:val="ConsPlusNormal"/>
        <w:jc w:val="right"/>
      </w:pPr>
      <w:r w:rsidRPr="002A7A35">
        <w:t>от 28 мая 2022 г. N 980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Title"/>
        <w:jc w:val="center"/>
      </w:pPr>
      <w:bookmarkStart w:id="7" w:name="P214"/>
      <w:bookmarkEnd w:id="7"/>
      <w:r w:rsidRPr="002A7A35">
        <w:t>ПРАВИЛА</w:t>
      </w:r>
    </w:p>
    <w:p w:rsidR="00D617CE" w:rsidRPr="002A7A35" w:rsidRDefault="00D617CE">
      <w:pPr>
        <w:pStyle w:val="ConsPlusTitle"/>
        <w:jc w:val="center"/>
      </w:pPr>
      <w:r w:rsidRPr="002A7A35">
        <w:t>ОБРАЩЕНИЯ С ЛОМОМ И ОТХОДАМИ ЧЕРНЫХ И ЦВЕТНЫХ МЕТАЛЛОВ</w:t>
      </w:r>
    </w:p>
    <w:p w:rsidR="00D617CE" w:rsidRPr="002A7A35" w:rsidRDefault="00D617CE">
      <w:pPr>
        <w:pStyle w:val="ConsPlusTitle"/>
        <w:jc w:val="center"/>
      </w:pPr>
      <w:r w:rsidRPr="002A7A35">
        <w:t>И ИХ ОТЧУЖДЕНИЯ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ind w:firstLine="540"/>
        <w:jc w:val="both"/>
      </w:pPr>
      <w:r w:rsidRPr="002A7A35">
        <w:t>1. Настоящие 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Российской Федерации.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 w:rsidRPr="002A7A35">
        <w:t>перечню</w:t>
      </w:r>
      <w:proofErr w:type="gramEnd"/>
      <w:r w:rsidRPr="002A7A35"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3. Юридические лица и индивидуальные предприниматели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bookmarkStart w:id="8" w:name="P221"/>
      <w:bookmarkEnd w:id="8"/>
      <w:r w:rsidRPr="002A7A35">
        <w:t>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наличии), номер телефона;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данные о лице, ответственном за прием лома и отходов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распорядок работы;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условия приема и цены на лом и отходы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е) ссылка на запись в реестре лицензий, содержащую сведения о действующей лицензии, полученной в соответствии с </w:t>
      </w:r>
      <w:hyperlink w:anchor="P42">
        <w:r w:rsidRPr="002A7A35">
          <w:t>Положением</w:t>
        </w:r>
      </w:hyperlink>
      <w:r w:rsidRPr="002A7A35">
        <w:t xml:space="preserve"> о лицензировании деятельности по заготовке, хранению, переработке и реализации лома черных и цветных металлов, утвержденным постановлением Правительства Российской Федерации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5. На объектах по приему лома и отходов черных и (или) цветных металлов кроме информации, указанной в </w:t>
      </w:r>
      <w:hyperlink w:anchor="P221">
        <w:r w:rsidRPr="002A7A35">
          <w:t>пункте 4</w:t>
        </w:r>
      </w:hyperlink>
      <w:r w:rsidRPr="002A7A35">
        <w:t xml:space="preserve"> настоящих Правил, должна находиться и предъявляться по требованию контрольных (надзорных) органов следующая документация: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инструкция о порядке действий при обнаружении взрывоопасных предметов либо ее копия, заверенная уполномоченным представителем юридического лица.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6. 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7. Прием лома и отходов черных и цветных металлов осуществляется при предъявлении лицом, сдающим лом и отходы черных и цветных металлов, документа, удостоверяющего личность.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Прием лома и отходов черных и цветных металлов от юридических лиц и индивидуальных предпринимателей осуществляется в соответствии с условиями договора с юридическим лицом или индивидуальным предпринимателем, осуществляющим прием лома и отходов черных и цветных металлов.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8. Юридическое лицо и индивидуальный предприниматель, принимающие лом и отходы черных и (или)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 Контроль осуществляется лицами, прошедшими соответствующую подготовку и аттестацию.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9. Юридическое лицо и индивидуальный предприниматель, принимающие лом и отходы черных и (или) цветных металлов, обязаны обеспечить наличие на каждом объекте по приему лома и отходов черных и (или) цветных металлов: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контролера лома и отходов металла с квалификацией не ниже II разряда;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лица, ответственного за проведение радиационного контроля лома и отходов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лица, ответственного за проведение контроля лома и отходов черных и (или) цветных металлов на взрывобезопасность;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</w:t>
      </w:r>
      <w:proofErr w:type="spellStart"/>
      <w:r w:rsidRPr="002A7A35">
        <w:t>поверены</w:t>
      </w:r>
      <w:proofErr w:type="spellEnd"/>
      <w:r w:rsidRPr="002A7A35">
        <w:t xml:space="preserve"> в порядке, установленном законодательством Российской Федерации об обеспечении единства измерений;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весовых средств измерений, сведения о которых содержатся в Федеральном информационном фонде по обеспечению единства измерений и которые </w:t>
      </w:r>
      <w:proofErr w:type="spellStart"/>
      <w:r w:rsidRPr="002A7A35">
        <w:t>поверены</w:t>
      </w:r>
      <w:proofErr w:type="spellEnd"/>
      <w:r w:rsidRPr="002A7A35">
        <w:t xml:space="preserve"> в порядке, установленном законодательством Российской Федерации об обеспечении единства измерений.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Допускается возложение ответственности за проведение радиационного контроля и контроля взрывобезопасности на одно лицо.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Юридическое лицо и индивидуальный предприниматель, принимающие лом и отходы цветных металлов, обеспечивают наличие на одном из объектов по приему лома и отходов цветных металлов в пределах территории субъекта Российской Федерации оборудования для идентификации и сортировки лома и отходов цветных металлов, сведения о котором содержатся в Федеральном информационном фонде по обеспечению единства измерений и которое </w:t>
      </w:r>
      <w:proofErr w:type="spellStart"/>
      <w:r w:rsidRPr="002A7A35">
        <w:t>поверено</w:t>
      </w:r>
      <w:proofErr w:type="spellEnd"/>
      <w:r w:rsidRPr="002A7A35">
        <w:t xml:space="preserve"> в порядке, установленном законодательством Российской Федерации об обеспечении единства измерений.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10. Юридическое лицо и индивидуальный предприниматель, принимающие лом и отходы черных металлов, обеспечивают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пресс для пакетирования или брикетирования лома черных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пресс-ножницы;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установка для дробления и сортировки легковесного лома;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оборудование для сортировки или измельчения стружки.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Юридическое лицо и индивидуальный предприниматель, осуществляющие переработку лома и отходов черных металлов с помощью пресса для пакетирования или брикетирования лома черных металлов либо пресс-ножниц, обеспечивают наличие на объекте по приему лома и отходов черных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11. Юридическое лицо и индивидуальный предприниматель, осуществляющие переработку лома и отходов цветных металлов, обеспечивают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пресс для пакетирования или брикетирования лома и отходов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пресс-ножницы;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установка для дробления лома и (или) отходов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установка для разделки кабеля.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Юридическое лицо и индивидуальный предприниматель, осуществляющие переработку лома и отходов цветных металлов с помощью пресса для пакетирования или брикетирования лома цветных металлов либо пресс-ножниц, обеспечивают наличие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12. Учет лома и отходов черных и (или)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13. Прием лома и отходов черных или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P327">
        <w:r w:rsidRPr="002A7A35">
          <w:t>приложению N 1</w:t>
        </w:r>
      </w:hyperlink>
      <w:r w:rsidRPr="002A7A35">
        <w:t>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Приемо-сдаточный акт составляется в 2 экземплярах на бумажном носителе (1-й экземпляр передается лицу, сдающему лом и отходы черных или цветных металлов, 2-й экземпляр остается у лица, осуществляющего прием) либо в виде электронного документа с использованием усиленной квалифицированной электронной подписи.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Указанный акт является документом строгой отчетности и должен иметь сквозную нумерацию.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14. Юридическое лицо и индивидуальный предприниматель, осуществляющие прием лома и отходов черных и (или) цветных металлов, ведут реестр приемо-сдаточных актов (далее - реестр) в электронном виде.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До 1 января 2023 г. допускается ведение учета приемо-сдаточных актов в книге учета приемо-сдаточных актов (далее - книга учета) на бумажном носителе. Страницы книги учета должны быть пронумерованы и прошнурованы.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После окончания ведения книги учета производится запись "В настоящей книге учета пронумеровано страниц". Запись заверяется подписями руководителя и главного бухгалтера юридического лица (при наличии) или индивидуального предпринимателя, осуществляющего прием лома и отходов черных и (или) цветных металлов, и печатью (при наличии).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На первой странице книги учета содержится следующая информация: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наименование "Книга учета приемо-сдаточных актов";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наименование и место нахождения юридического лица (индивидуального предпринимателя), осуществляющего прием лома и отходов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запись "Начата" с указанием даты внесения в книгу учета первой записи о приеме лома и отходов черных и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запись "Окончена" с указанием даты внесения в книгу учета последней записи о приеме лома и отходов черных и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запись "Лицо, ответственное за ведение настоящей книги учета" с указанием должности, фамилии, имени, отчества (при наличии) этого лица, его подпись и дату.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15. При каждом случае приема лома и отходов черных или цветных металлов в реестр либо в книгу учета вносится следующая информация: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регистрационный номер приемо-сдаточного акта;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дата приема лома и отходов черных или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данные о лице, сдающем лом и отходы черных или цветных металлов: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 приеме у юридического лица - наименование, адрес, основной государственный регистрационный номер;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(при наличии);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реквизиты транспортной накладной (для юридического лица и индивидуального предпринимателя);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д) класс, категория, вид принятых лома и отходов черных или цветных металлов согласно государственному стандарту;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е) процент засоренности принятых лома и отходов черных или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ж) вес принятых лома и отходов черных или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з) подпись лица, сделавшего запись в книге (при ведении учета приемо-сдаточных актов на бумажном носителе).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16. Сведения в реестре либо в книге учета и приемо-сдаточные акты на лом и отходы черных металлов хранятся в течение 1 года со дня составления приемо-сдаточного акта.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17. Сведения в реестре либо в книге учета и приемо-сдаточные акты на лом и отходы цветных металлов хранятся в течение 3 лет со дня составления приемо-сдаточного акта.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18.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При отборе (извлечении) сопутствующих лома и отходов цветных металлов составляется акт по форме согласно </w:t>
      </w:r>
      <w:hyperlink w:anchor="P435">
        <w:r w:rsidRPr="002A7A35">
          <w:t>приложению N 2</w:t>
        </w:r>
      </w:hyperlink>
      <w:r w:rsidRPr="002A7A35">
        <w:t>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19.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20. Хранение бытового (принятого от физических лиц) и промышленного лома и отходов цветных металлов осуществляется раздельно.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21. Юридическое лицо и индивидуальный предприниматель, принимающие лом и отходы черных и (или) цветных металлов, организуют учет отчуждаемых лома и отходов.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22. Каждая партия отчужденных лома и отходов черных или цветных металлов должна быть зарегистрирована в журнале регистрации отгруженных лома и отходов черных и (или) цветных металлов, в котором указываются: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наименование и реквизиты грузополучателя;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номер вагона, государственный регистрационный знак транспортного средства;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дата отгрузки;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вид лома и отходов черных или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д) вес партии, перевозимой транспортным средством;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е) реквизиты транспортной накладной;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ж) номер удостоверения о взрывобезопасности лома и отходов черных или цветных металлов, составленного по форме согласно приложению N 3, и выданного лицом, ответственным за проведение контроля лома и отходов черных и (или) цветных металлов на взрывобезопасность.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23. Записи в журнале регистрации отгруженных лома и отходов черных и (или) цветных металлов производятся на основании документов первичного бухгалтерского учета.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До 1 января 2023 г. допускается ведение журнала регистрации отгруженных лома и отходов черных и (или) цветных металлов на бумажном носителе.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Ведение журнала регистрации отгруженных лома и отходов черных и (или) цветных металлов осуществляется в электронном виде.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24. При транспортировке лома и отходов черных и (или) цветных металлов организация-перевозчик (транспортная организация, юридическое лицо и индивидуальный предприниматель, осуществляющие перевозку собственным транспортом) и грузоотправитель обеспечивают водителя транспортного средства или лицо, сопровождающее груз, следующими документами: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путевой лист;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транспортная накладная;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 xml:space="preserve">удостоверение о взрывобезопасности лома и отходов черных или цветных металлов по форме, предусмотренной </w:t>
      </w:r>
      <w:hyperlink w:anchor="P493">
        <w:r w:rsidRPr="002A7A35">
          <w:t>приложением N 3</w:t>
        </w:r>
      </w:hyperlink>
      <w:r w:rsidRPr="002A7A35">
        <w:t xml:space="preserve"> к настоящим Правилам.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25. В транспортной накладной указываются: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а) номер;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б) наименование и реквизиты грузоотправителя;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в) наименование и реквизиты грузополучателя;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г) номер вагона, государственный регистрационный знак транспортного средства;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д) дата отгрузки;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е) вид лома и отходов черных и (или) цветных металлов;</w:t>
      </w:r>
    </w:p>
    <w:p w:rsidR="00D617CE" w:rsidRPr="002A7A35" w:rsidRDefault="00D617CE">
      <w:pPr>
        <w:pStyle w:val="ConsPlusNormal"/>
        <w:spacing w:before="200"/>
        <w:ind w:firstLine="540"/>
        <w:jc w:val="both"/>
      </w:pPr>
      <w:r w:rsidRPr="002A7A35">
        <w:t>ж) вес партии, перевозимой транспортным средством.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  <w:outlineLvl w:val="1"/>
      </w:pPr>
      <w:r w:rsidRPr="002A7A35">
        <w:t>Приложение N 1</w:t>
      </w:r>
    </w:p>
    <w:p w:rsidR="00D617CE" w:rsidRPr="002A7A35" w:rsidRDefault="00D617CE">
      <w:pPr>
        <w:pStyle w:val="ConsPlusNormal"/>
        <w:jc w:val="right"/>
      </w:pPr>
      <w:r w:rsidRPr="002A7A35">
        <w:t>к Правилам обращения с ломом и отходами</w:t>
      </w:r>
    </w:p>
    <w:p w:rsidR="00D617CE" w:rsidRPr="002A7A35" w:rsidRDefault="00D617CE">
      <w:pPr>
        <w:pStyle w:val="ConsPlusNormal"/>
        <w:jc w:val="right"/>
      </w:pPr>
      <w:r w:rsidRPr="002A7A35">
        <w:t>черных и цветных металлов и их отчуждения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</w:pPr>
      <w:r w:rsidRPr="002A7A35">
        <w:t>(форма)</w:t>
      </w:r>
    </w:p>
    <w:p w:rsidR="00D617CE" w:rsidRPr="002A7A35" w:rsidRDefault="00D617CE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6"/>
        <w:gridCol w:w="133"/>
        <w:gridCol w:w="207"/>
        <w:gridCol w:w="340"/>
        <w:gridCol w:w="464"/>
        <w:gridCol w:w="644"/>
        <w:gridCol w:w="4211"/>
      </w:tblGrid>
      <w:tr w:rsidR="002A7A35" w:rsidRPr="002A7A35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bookmarkStart w:id="9" w:name="P327"/>
            <w:bookmarkEnd w:id="9"/>
            <w:r w:rsidRPr="002A7A35">
              <w:t>ПРИЕМО-СДАТОЧНЫЙ АКТ N ______ от ______</w:t>
            </w:r>
          </w:p>
        </w:tc>
      </w:tr>
      <w:tr w:rsidR="002A7A35" w:rsidRPr="002A7A35"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Получатель лома и отходов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Сдатчик лома и отходов</w:t>
            </w:r>
          </w:p>
        </w:tc>
        <w:tc>
          <w:tcPr>
            <w:tcW w:w="5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ИНН сдатчика лома и отходов</w:t>
            </w:r>
          </w:p>
        </w:tc>
        <w:tc>
          <w:tcPr>
            <w:tcW w:w="5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Банковские реквизиты сдатчика лома и отходов (для юридических лиц и индивидуальных предпринимателей) _________________________________________</w:t>
            </w:r>
          </w:p>
        </w:tc>
      </w:tr>
      <w:tr w:rsidR="002A7A35" w:rsidRPr="002A7A35"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Данные документа, удостоверяющего личность, место регистрации по месту жительства либо по месту пребывания сдатчика лома и отходов (для физических лиц) _________________________________________________________________________</w:t>
            </w:r>
          </w:p>
        </w:tc>
      </w:tr>
      <w:tr w:rsidR="002A7A35" w:rsidRPr="002A7A35"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single" w:sz="4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Транспорт (марка, номер)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Краткое описание лома и отходов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</w:p>
        </w:tc>
      </w:tr>
      <w:tr w:rsidR="002A7A35" w:rsidRPr="002A7A35">
        <w:tc>
          <w:tcPr>
            <w:tcW w:w="90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Основания возникновения права собственности у сдатчика лома и отходов на сдаваемые лом и отходы цветных металлов</w:t>
            </w:r>
          </w:p>
        </w:tc>
      </w:tr>
      <w:tr w:rsidR="00D617CE" w:rsidRPr="002A7A35">
        <w:tc>
          <w:tcPr>
            <w:tcW w:w="48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</w:tbl>
    <w:p w:rsidR="00D617CE" w:rsidRPr="002A7A35" w:rsidRDefault="00D617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2"/>
        <w:gridCol w:w="1013"/>
        <w:gridCol w:w="805"/>
        <w:gridCol w:w="1027"/>
        <w:gridCol w:w="1027"/>
        <w:gridCol w:w="1032"/>
        <w:gridCol w:w="1027"/>
        <w:gridCol w:w="1027"/>
        <w:gridCol w:w="1046"/>
      </w:tblGrid>
      <w:tr w:rsidR="002A7A35" w:rsidRPr="002A7A35">
        <w:tc>
          <w:tcPr>
            <w:tcW w:w="1032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Наименование</w:t>
            </w:r>
          </w:p>
        </w:tc>
        <w:tc>
          <w:tcPr>
            <w:tcW w:w="1013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Код по ОКПО</w:t>
            </w:r>
          </w:p>
        </w:tc>
        <w:tc>
          <w:tcPr>
            <w:tcW w:w="805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Вид</w:t>
            </w: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Вес брутто (тонн)</w:t>
            </w: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Вес тары (тонн)</w:t>
            </w:r>
          </w:p>
        </w:tc>
        <w:tc>
          <w:tcPr>
            <w:tcW w:w="1032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Засоренность (%)</w:t>
            </w: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Вес нетто (тонн)</w:t>
            </w: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Цена (рублей)</w:t>
            </w:r>
          </w:p>
        </w:tc>
        <w:tc>
          <w:tcPr>
            <w:tcW w:w="1046" w:type="dxa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Сумма (рублей)</w:t>
            </w:r>
          </w:p>
        </w:tc>
      </w:tr>
      <w:tr w:rsidR="002A7A35" w:rsidRPr="002A7A35"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13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805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46" w:type="dxa"/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13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805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46" w:type="dxa"/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13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805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46" w:type="dxa"/>
          </w:tcPr>
          <w:p w:rsidR="00D617CE" w:rsidRPr="002A7A35" w:rsidRDefault="00D617CE">
            <w:pPr>
              <w:pStyle w:val="ConsPlusNormal"/>
            </w:pPr>
          </w:p>
        </w:tc>
      </w:tr>
      <w:tr w:rsidR="00D617CE" w:rsidRPr="002A7A35">
        <w:tc>
          <w:tcPr>
            <w:tcW w:w="2850" w:type="dxa"/>
            <w:gridSpan w:val="3"/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Итого</w:t>
            </w: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32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27" w:type="dxa"/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046" w:type="dxa"/>
          </w:tcPr>
          <w:p w:rsidR="00D617CE" w:rsidRPr="002A7A35" w:rsidRDefault="00D617CE">
            <w:pPr>
              <w:pStyle w:val="ConsPlusNormal"/>
            </w:pPr>
          </w:p>
        </w:tc>
      </w:tr>
    </w:tbl>
    <w:p w:rsidR="00D617CE" w:rsidRPr="002A7A35" w:rsidRDefault="00D617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340"/>
        <w:gridCol w:w="270"/>
        <w:gridCol w:w="2266"/>
        <w:gridCol w:w="331"/>
        <w:gridCol w:w="960"/>
        <w:gridCol w:w="2703"/>
      </w:tblGrid>
      <w:tr w:rsidR="002A7A35" w:rsidRPr="002A7A35"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Вес нетто (прописью)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Итого на сумму</w:t>
            </w:r>
          </w:p>
        </w:tc>
        <w:tc>
          <w:tcPr>
            <w:tcW w:w="6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В том числе НДС</w:t>
            </w:r>
          </w:p>
        </w:tc>
        <w:tc>
          <w:tcPr>
            <w:tcW w:w="6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Об ответственности за представление недостоверных данных предупрежден.</w:t>
            </w:r>
          </w:p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Достоверность представленных сведений подтверждаю.</w:t>
            </w:r>
          </w:p>
        </w:tc>
      </w:tr>
      <w:tr w:rsidR="002A7A35" w:rsidRPr="002A7A35"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Сдачу лома и отходов произвел и акт получил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53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(подпись сдатчика лома и отходов)</w:t>
            </w:r>
          </w:p>
        </w:tc>
      </w:tr>
      <w:tr w:rsidR="002A7A35" w:rsidRPr="002A7A35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Указанный металлолом признан взрывобезопасным, прошел радиационный контроль, а также классифицирован согласно</w:t>
            </w:r>
          </w:p>
        </w:tc>
      </w:tr>
      <w:tr w:rsidR="002A7A35" w:rsidRPr="002A7A35">
        <w:tblPrEx>
          <w:tblBorders>
            <w:insideH w:val="single" w:sz="4" w:space="0" w:color="auto"/>
          </w:tblBorders>
        </w:tblPrEx>
        <w:tc>
          <w:tcPr>
            <w:tcW w:w="5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(указываются реквизиты действующего государственного стандарта)</w:t>
            </w:r>
          </w:p>
        </w:tc>
      </w:tr>
      <w:tr w:rsidR="002A7A35" w:rsidRPr="002A7A35">
        <w:tc>
          <w:tcPr>
            <w:tcW w:w="6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Подпись лица, ответственного за прием лома и отходов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Подпись лица, ответственного за контроль лома и отходов на взрывобезопасность _________________________________________________________________________</w:t>
            </w:r>
          </w:p>
        </w:tc>
      </w:tr>
      <w:tr w:rsidR="00D617CE" w:rsidRPr="002A7A35">
        <w:tc>
          <w:tcPr>
            <w:tcW w:w="9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Подпись лица, ответственного за радиационный контроль лома и отходов _________________________________________________________________________</w:t>
            </w:r>
          </w:p>
        </w:tc>
      </w:tr>
    </w:tbl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  <w:outlineLvl w:val="1"/>
      </w:pPr>
      <w:r w:rsidRPr="002A7A35">
        <w:t>Приложение N 2</w:t>
      </w:r>
    </w:p>
    <w:p w:rsidR="00D617CE" w:rsidRPr="002A7A35" w:rsidRDefault="00D617CE">
      <w:pPr>
        <w:pStyle w:val="ConsPlusNormal"/>
        <w:jc w:val="right"/>
      </w:pPr>
      <w:r w:rsidRPr="002A7A35">
        <w:t>к Правилам обращения с ломом и отходами</w:t>
      </w:r>
    </w:p>
    <w:p w:rsidR="00D617CE" w:rsidRPr="002A7A35" w:rsidRDefault="00D617CE">
      <w:pPr>
        <w:pStyle w:val="ConsPlusNormal"/>
        <w:jc w:val="right"/>
      </w:pPr>
      <w:r w:rsidRPr="002A7A35">
        <w:t>черных и цветных металлов и их отчуждения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</w:pPr>
      <w:r w:rsidRPr="002A7A35">
        <w:t>(форма)</w:t>
      </w:r>
    </w:p>
    <w:p w:rsidR="00D617CE" w:rsidRPr="002A7A35" w:rsidRDefault="00D617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0"/>
        <w:gridCol w:w="1701"/>
        <w:gridCol w:w="340"/>
        <w:gridCol w:w="1531"/>
      </w:tblGrid>
      <w:tr w:rsidR="002A7A35" w:rsidRPr="002A7A35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УТВЕРЖДАЮ</w:t>
            </w:r>
          </w:p>
          <w:p w:rsidR="00D617CE" w:rsidRPr="002A7A35" w:rsidRDefault="00D617CE">
            <w:pPr>
              <w:pStyle w:val="ConsPlusNormal"/>
              <w:jc w:val="center"/>
            </w:pPr>
            <w:r w:rsidRPr="002A7A35">
              <w:t>Руководитель</w:t>
            </w:r>
          </w:p>
        </w:tc>
      </w:tr>
      <w:tr w:rsidR="002A7A35" w:rsidRPr="002A7A35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(наименование организации)</w:t>
            </w:r>
          </w:p>
        </w:tc>
      </w:tr>
      <w:tr w:rsidR="002A7A35" w:rsidRPr="002A7A35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D617CE" w:rsidRPr="002A7A35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"__" ______________ 20__ г.</w:t>
            </w:r>
          </w:p>
        </w:tc>
      </w:tr>
    </w:tbl>
    <w:p w:rsidR="00D617CE" w:rsidRPr="002A7A35" w:rsidRDefault="00D617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4"/>
        <w:gridCol w:w="915"/>
        <w:gridCol w:w="1771"/>
        <w:gridCol w:w="1590"/>
        <w:gridCol w:w="1935"/>
        <w:gridCol w:w="1260"/>
      </w:tblGrid>
      <w:tr w:rsidR="002A7A35" w:rsidRPr="002A7A35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bookmarkStart w:id="10" w:name="P435"/>
            <w:bookmarkEnd w:id="10"/>
            <w:r w:rsidRPr="002A7A35">
              <w:t>АКТ</w:t>
            </w:r>
          </w:p>
          <w:p w:rsidR="00D617CE" w:rsidRPr="002A7A35" w:rsidRDefault="00D617CE">
            <w:pPr>
              <w:pStyle w:val="ConsPlusNormal"/>
              <w:jc w:val="center"/>
            </w:pPr>
            <w:r w:rsidRPr="002A7A35">
              <w:t>N ______ от ________________</w:t>
            </w:r>
          </w:p>
        </w:tc>
      </w:tr>
      <w:tr w:rsidR="002A7A35" w:rsidRPr="002A7A35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Комиссия в составе:</w:t>
            </w:r>
          </w:p>
        </w:tc>
      </w:tr>
      <w:tr w:rsidR="002A7A35" w:rsidRPr="002A7A35"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начальник участка</w:t>
            </w:r>
          </w:p>
        </w:tc>
        <w:tc>
          <w:tcPr>
            <w:tcW w:w="6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работник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работник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single" w:sz="4" w:space="0" w:color="auto"/>
          </w:tblBorders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составили настоящий акт о том, что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на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(дата)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90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both"/>
            </w:pPr>
            <w:r w:rsidRPr="002A7A35">
              <w:t>был произведен отбор (извлечение) лома и отходов цветных металлов из лома и отходов черных металлов.</w:t>
            </w:r>
          </w:p>
        </w:tc>
      </w:tr>
      <w:tr w:rsidR="002A7A35" w:rsidRPr="002A7A35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Подлежат списанию с учета лом и отходы черных металлов _________________________________________________________________________</w:t>
            </w:r>
          </w:p>
          <w:p w:rsidR="00D617CE" w:rsidRPr="002A7A35" w:rsidRDefault="00D617CE">
            <w:pPr>
              <w:pStyle w:val="ConsPlusNormal"/>
              <w:jc w:val="center"/>
            </w:pPr>
            <w:r w:rsidRPr="002A7A35">
              <w:t>(вид, вес)</w:t>
            </w:r>
          </w:p>
        </w:tc>
      </w:tr>
      <w:tr w:rsidR="002A7A35" w:rsidRPr="002A7A35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Подлежат учету лом и отходы цветных металлов _________________________________________________________________________</w:t>
            </w:r>
          </w:p>
        </w:tc>
      </w:tr>
      <w:tr w:rsidR="00D617CE" w:rsidRPr="002A7A35"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 xml:space="preserve">(вид, вес, цена, сумма, </w:t>
            </w:r>
            <w:proofErr w:type="spellStart"/>
            <w:r w:rsidRPr="002A7A35">
              <w:t>ф.и.о.</w:t>
            </w:r>
            <w:proofErr w:type="spellEnd"/>
            <w:r w:rsidRPr="002A7A35">
              <w:t xml:space="preserve"> (отчество при наличии) ответственного)</w:t>
            </w:r>
          </w:p>
        </w:tc>
      </w:tr>
    </w:tbl>
    <w:p w:rsidR="00D617CE" w:rsidRPr="002A7A35" w:rsidRDefault="00D617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0"/>
        <w:gridCol w:w="465"/>
        <w:gridCol w:w="1860"/>
        <w:gridCol w:w="340"/>
        <w:gridCol w:w="4475"/>
      </w:tblGrid>
      <w:tr w:rsidR="002A7A35" w:rsidRPr="002A7A35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Члены комиссии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(расшифровка подписи)</w:t>
            </w:r>
          </w:p>
        </w:tc>
      </w:tr>
      <w:tr w:rsidR="002A7A35" w:rsidRPr="002A7A35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(расшифровка подписи)</w:t>
            </w:r>
          </w:p>
        </w:tc>
      </w:tr>
      <w:tr w:rsidR="002A7A35" w:rsidRPr="002A7A3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Согласовано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6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D617CE" w:rsidRPr="002A7A3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(подпись бухгалтера организации (при наличии)</w:t>
            </w:r>
          </w:p>
        </w:tc>
      </w:tr>
    </w:tbl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  <w:outlineLvl w:val="1"/>
      </w:pPr>
      <w:r w:rsidRPr="002A7A35">
        <w:t>Приложение N 3</w:t>
      </w:r>
    </w:p>
    <w:p w:rsidR="00D617CE" w:rsidRPr="002A7A35" w:rsidRDefault="00D617CE">
      <w:pPr>
        <w:pStyle w:val="ConsPlusNormal"/>
        <w:jc w:val="right"/>
      </w:pPr>
      <w:r w:rsidRPr="002A7A35">
        <w:t>к Правилам обращения с ломом и отходами</w:t>
      </w:r>
    </w:p>
    <w:p w:rsidR="00D617CE" w:rsidRPr="002A7A35" w:rsidRDefault="00D617CE">
      <w:pPr>
        <w:pStyle w:val="ConsPlusNormal"/>
        <w:jc w:val="right"/>
      </w:pPr>
      <w:r w:rsidRPr="002A7A35">
        <w:t>черных и цветных металлов и их отчуждения</w:t>
      </w: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right"/>
      </w:pPr>
      <w:r w:rsidRPr="002A7A35">
        <w:t>(форма)</w:t>
      </w:r>
    </w:p>
    <w:p w:rsidR="00D617CE" w:rsidRPr="002A7A35" w:rsidRDefault="00D617C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5"/>
        <w:gridCol w:w="951"/>
        <w:gridCol w:w="361"/>
        <w:gridCol w:w="1571"/>
        <w:gridCol w:w="1047"/>
        <w:gridCol w:w="210"/>
        <w:gridCol w:w="990"/>
        <w:gridCol w:w="2055"/>
      </w:tblGrid>
      <w:tr w:rsidR="002A7A35" w:rsidRPr="002A7A35">
        <w:tc>
          <w:tcPr>
            <w:tcW w:w="90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(наименование организации)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bookmarkStart w:id="11" w:name="P493"/>
            <w:bookmarkEnd w:id="11"/>
            <w:r w:rsidRPr="002A7A35">
              <w:t>Удостоверение N _______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о взрывобезопасности лома и отходов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both"/>
            </w:pPr>
            <w:r w:rsidRPr="002A7A35">
              <w:t>металлов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(черных либо цветных)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"__" ___________________ 20__ г.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1. Получатель лома и отходов металлов</w:t>
            </w: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2. Вид лома и отходов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both"/>
            </w:pPr>
            <w:r w:rsidRPr="002A7A35">
              <w:t>металлов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(черных либо цветных)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масса __________________ тонн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вагон (автомобиль) N __________________ накладная N ______________________</w:t>
            </w: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ind w:firstLine="283"/>
              <w:jc w:val="both"/>
            </w:pPr>
            <w:r w:rsidRPr="002A7A35">
              <w:t>Указанные лом и отходы</w:t>
            </w:r>
          </w:p>
        </w:tc>
        <w:tc>
          <w:tcPr>
            <w:tcW w:w="5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blPrEx>
          <w:tblBorders>
            <w:insideH w:val="none" w:sz="0" w:space="0" w:color="auto"/>
          </w:tblBorders>
        </w:tblPrEx>
        <w:tc>
          <w:tcPr>
            <w:tcW w:w="31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(черных либо цветных)</w:t>
            </w:r>
          </w:p>
        </w:tc>
      </w:tr>
      <w:tr w:rsidR="00D617CE" w:rsidRPr="002A7A35">
        <w:tblPrEx>
          <w:tblBorders>
            <w:insideH w:val="none" w:sz="0" w:space="0" w:color="auto"/>
          </w:tblBorders>
        </w:tblPrEx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both"/>
            </w:pPr>
            <w:r w:rsidRPr="002A7A35">
              <w:t>металлов являются взрывобезопасными и могут быть допущены к использованию в качестве металлической шихты.</w:t>
            </w:r>
          </w:p>
        </w:tc>
      </w:tr>
    </w:tbl>
    <w:p w:rsidR="00D617CE" w:rsidRPr="002A7A35" w:rsidRDefault="00D617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0"/>
        <w:gridCol w:w="340"/>
        <w:gridCol w:w="1760"/>
        <w:gridCol w:w="340"/>
        <w:gridCol w:w="3155"/>
      </w:tblGrid>
      <w:tr w:rsidR="002A7A35" w:rsidRPr="002A7A35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both"/>
            </w:pPr>
            <w:r w:rsidRPr="002A7A35">
              <w:t>Ответственный представитель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  <w:tr w:rsidR="002A7A35" w:rsidRPr="002A7A35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center"/>
            </w:pPr>
            <w:r w:rsidRPr="002A7A35">
              <w:t>(расшифровка подписи)</w:t>
            </w:r>
          </w:p>
        </w:tc>
      </w:tr>
      <w:tr w:rsidR="00D617CE" w:rsidRPr="002A7A35"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  <w:jc w:val="both"/>
            </w:pPr>
            <w:r w:rsidRPr="002A7A35"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D617CE" w:rsidRPr="002A7A35" w:rsidRDefault="00D617CE">
            <w:pPr>
              <w:pStyle w:val="ConsPlusNormal"/>
            </w:pPr>
          </w:p>
        </w:tc>
      </w:tr>
    </w:tbl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jc w:val="both"/>
      </w:pPr>
    </w:p>
    <w:p w:rsidR="00D617CE" w:rsidRPr="002A7A35" w:rsidRDefault="00D61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A35" w:rsidRPr="002A7A35" w:rsidRDefault="002A7A35"/>
    <w:sectPr w:rsidR="002A7A35" w:rsidRPr="002A7A35" w:rsidSect="002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E"/>
    <w:rsid w:val="002A7A35"/>
    <w:rsid w:val="0058319B"/>
    <w:rsid w:val="00A87253"/>
    <w:rsid w:val="00AE2261"/>
    <w:rsid w:val="00D617CE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4C09-A1AF-4075-A303-B87D768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1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17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22378241E8A49C8D7FA400EE1B846EBDBC2D59E1AE3B8975CDD242115561FCEE4FE2F47D94E3F3D12D712C0HFu3H" TargetMode="External"/><Relationship Id="rId13" Type="http://schemas.openxmlformats.org/officeDocument/2006/relationships/hyperlink" Target="consultantplus://offline/ref=FCA22378241E8A49C8D7FA400EE1B846EBD8C6D79817E3B8975CDD242115561FDCE4A62346DA583B3707814386A4E1853BB2DE79F57CA063H6uDH" TargetMode="External"/><Relationship Id="rId18" Type="http://schemas.openxmlformats.org/officeDocument/2006/relationships/hyperlink" Target="consultantplus://offline/ref=FCA22378241E8A49C8D7FA400EE1B846ECD3C6D19A1BE3B8975CDD242115561FCEE4FE2F47D94E3F3D12D712C0HFu3H" TargetMode="External"/><Relationship Id="rId26" Type="http://schemas.openxmlformats.org/officeDocument/2006/relationships/hyperlink" Target="consultantplus://offline/ref=FCA22378241E8A49C8D7FA400EE1B846ECD2CBD59E1FE3B8975CDD242115561FCEE4FE2F47D94E3F3D12D712C0HFu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A22378241E8A49C8D7FA400EE1B846ECD3C6D19A1BE3B8975CDD242115561FDCE4A6204ED95B6B6548801FC3F2F28431B2DC70E9H7uCH" TargetMode="External"/><Relationship Id="rId34" Type="http://schemas.openxmlformats.org/officeDocument/2006/relationships/hyperlink" Target="consultantplus://offline/ref=FCA22378241E8A49C8D7FA400EE1B846ECD2CBD59E1FE3B8975CDD242115561FDCE4A62346DA553A3707814386A4E1853BB2DE79F57CA063H6uDH" TargetMode="External"/><Relationship Id="rId7" Type="http://schemas.openxmlformats.org/officeDocument/2006/relationships/hyperlink" Target="consultantplus://offline/ref=FCA22378241E8A49C8D7FA400EE1B846EBDACBD59A1FE3B8975CDD242115561FDCE4A62346DA503B3307814386A4E1853BB2DE79F57CA063H6uDH" TargetMode="External"/><Relationship Id="rId12" Type="http://schemas.openxmlformats.org/officeDocument/2006/relationships/hyperlink" Target="consultantplus://offline/ref=FCA22378241E8A49C8D7FA400EE1B846EBDBC2D49D16E3B8975CDD242115561FCEE4FE2F47D94E3F3D12D712C0HFu3H" TargetMode="External"/><Relationship Id="rId17" Type="http://schemas.openxmlformats.org/officeDocument/2006/relationships/hyperlink" Target="consultantplus://offline/ref=FCA22378241E8A49C8D7FA400EE1B846ECD3C6D19A1BE3B8975CDD242115561FDCE4A62145DE5B6B6548801FC3F2F28431B2DC70E9H7uCH" TargetMode="External"/><Relationship Id="rId25" Type="http://schemas.openxmlformats.org/officeDocument/2006/relationships/hyperlink" Target="consultantplus://offline/ref=FCA22378241E8A49C8D7FA400EE1B846EBD8C0D49D18E3B8975CDD242115561FDCE4A62046DF593D3F58845697FCED8726ACD76EE97EA2H6u3H" TargetMode="External"/><Relationship Id="rId33" Type="http://schemas.openxmlformats.org/officeDocument/2006/relationships/hyperlink" Target="consultantplus://offline/ref=FCA22378241E8A49C8D7FA400EE1B846ECD2CBD59E1FE3B8975CDD242115561FDCE4A62346DA523D3107814386A4E1853BB2DE79F57CA063H6uD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22378241E8A49C8D7FA400EE1B846ECD2CBD59E1FE3B8975CDD242115561FDCE4A62346DA503C3107814386A4E1853BB2DE79F57CA063H6uDH" TargetMode="External"/><Relationship Id="rId20" Type="http://schemas.openxmlformats.org/officeDocument/2006/relationships/hyperlink" Target="consultantplus://offline/ref=FCA22378241E8A49C8D7FA400EE1B846ECD3C6D19A1BE3B8975CDD242115561FDCE4A62342D25B6B6548801FC3F2F28431B2DC70E9H7uCH" TargetMode="External"/><Relationship Id="rId29" Type="http://schemas.openxmlformats.org/officeDocument/2006/relationships/hyperlink" Target="consultantplus://offline/ref=FCA22378241E8A49C8D7FA400EE1B846ECD2CBD59E1FE3B8975CDD242115561FDCE4A62346DA533D3D07814386A4E1853BB2DE79F57CA063H6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22378241E8A49C8D7FA400EE1B846EBD8C2D99C18E3B8975CDD242115561FDCE4A62346DA533F3C07814386A4E1853BB2DE79F57CA063H6uDH" TargetMode="External"/><Relationship Id="rId11" Type="http://schemas.openxmlformats.org/officeDocument/2006/relationships/hyperlink" Target="consultantplus://offline/ref=FCA22378241E8A49C8D7FA400EE1B846ECDCC6D89816E3B8975CDD242115561FCEE4FE2F47D94E3F3D12D712C0HFu3H" TargetMode="External"/><Relationship Id="rId24" Type="http://schemas.openxmlformats.org/officeDocument/2006/relationships/hyperlink" Target="consultantplus://offline/ref=FCA22378241E8A49C8D7FA400EE1B846EBD8C0D49D18E3B8975CDD242115561FDCE4A62541DB5B6B6548801FC3F2F28431B2DC70E9H7uCH" TargetMode="External"/><Relationship Id="rId32" Type="http://schemas.openxmlformats.org/officeDocument/2006/relationships/hyperlink" Target="consultantplus://offline/ref=FCA22378241E8A49C8D7FA400EE1B846ECD2CBD59E1FE3B8975CDD242115561FCEE4FE2F47D94E3F3D12D712C0HFu3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CA22378241E8A49C8D7FA400EE1B846ECDCC6D99A19E3B8975CDD242115561FCEE4FE2F47D94E3F3D12D712C0HFu3H" TargetMode="External"/><Relationship Id="rId15" Type="http://schemas.openxmlformats.org/officeDocument/2006/relationships/hyperlink" Target="consultantplus://offline/ref=FCA22378241E8A49C8D7FA400EE1B846ECD3C6D19A1BE3B8975CDD242115561FDCE4A62346DA513C3007814386A4E1853BB2DE79F57CA063H6uDH" TargetMode="External"/><Relationship Id="rId23" Type="http://schemas.openxmlformats.org/officeDocument/2006/relationships/hyperlink" Target="consultantplus://offline/ref=FCA22378241E8A49C8D7FA400EE1B846EBDBC4D69E1AE3B8975CDD242115561FDCE4A62346DA503E3607814386A4E1853BB2DE79F57CA063H6uDH" TargetMode="External"/><Relationship Id="rId28" Type="http://schemas.openxmlformats.org/officeDocument/2006/relationships/hyperlink" Target="consultantplus://offline/ref=FCA22378241E8A49C8D7FA400EE1B846ECD2CBD59E1FE3B8975CDD242115561FCEE4FE2F47D94E3F3D12D712C0HFu3H" TargetMode="External"/><Relationship Id="rId36" Type="http://schemas.openxmlformats.org/officeDocument/2006/relationships/hyperlink" Target="consultantplus://offline/ref=FCA22378241E8A49C8D7FA400EE1B846ECD2CBD59E1FE3B8975CDD242115561FDCE4A62346DA543D3C07814386A4E1853BB2DE79F57CA063H6uDH" TargetMode="External"/><Relationship Id="rId10" Type="http://schemas.openxmlformats.org/officeDocument/2006/relationships/hyperlink" Target="consultantplus://offline/ref=FCA22378241E8A49C8D7FA400EE1B846EDDACAD99D1FE3B8975CDD242115561FCEE4FE2F47D94E3F3D12D712C0HFu3H" TargetMode="External"/><Relationship Id="rId19" Type="http://schemas.openxmlformats.org/officeDocument/2006/relationships/hyperlink" Target="consultantplus://offline/ref=FCA22378241E8A49C8D7FA400EE1B846ECD3C6D19A1BE3B8975CDD242115561FDCE4A62B45D1046E7059D813C1EFEC8D26AEDE72HEu9H" TargetMode="External"/><Relationship Id="rId31" Type="http://schemas.openxmlformats.org/officeDocument/2006/relationships/hyperlink" Target="consultantplus://offline/ref=FCA22378241E8A49C8D7FA400EE1B846ECD2CBD59E1FE3B8975CDD242115561FDCE4A62346DA563C3707814386A4E1853BB2DE79F57CA063H6uDH" TargetMode="External"/><Relationship Id="rId4" Type="http://schemas.openxmlformats.org/officeDocument/2006/relationships/hyperlink" Target="consultantplus://offline/ref=FCA22378241E8A49C8D7FA400EE1B846ECDCC6D99B1CE3B8975CDD242115561FCEE4FE2F47D94E3F3D12D712C0HFu3H" TargetMode="External"/><Relationship Id="rId9" Type="http://schemas.openxmlformats.org/officeDocument/2006/relationships/hyperlink" Target="consultantplus://offline/ref=FCA22378241E8A49C8D7FA400EE1B846EBDAC1D49619E3B8975CDD242115561FDCE4A62346DA503D3107814386A4E1853BB2DE79F57CA063H6uDH" TargetMode="External"/><Relationship Id="rId14" Type="http://schemas.openxmlformats.org/officeDocument/2006/relationships/hyperlink" Target="consultantplus://offline/ref=FCA22378241E8A49C8D7FA400EE1B846EBD8C6D79817E3B8975CDD242115561FDCE4A62346DA583B3007814386A4E1853BB2DE79F57CA063H6uDH" TargetMode="External"/><Relationship Id="rId22" Type="http://schemas.openxmlformats.org/officeDocument/2006/relationships/hyperlink" Target="consultantplus://offline/ref=FCA22378241E8A49C8D7FA400EE1B846EBDAC4D29C1AE3B8975CDD242115561FCEE4FE2F47D94E3F3D12D712C0HFu3H" TargetMode="External"/><Relationship Id="rId27" Type="http://schemas.openxmlformats.org/officeDocument/2006/relationships/hyperlink" Target="consultantplus://offline/ref=FCA22378241E8A49C8D7FA400EE1B846ECD2CBD59E1FE3B8975CDD242115561FCEE4FE2F47D94E3F3D12D712C0HFu3H" TargetMode="External"/><Relationship Id="rId30" Type="http://schemas.openxmlformats.org/officeDocument/2006/relationships/hyperlink" Target="consultantplus://offline/ref=FCA22378241E8A49C8D7FA400EE1B846ECD2CBD59E1FE3B8975CDD242115561FCEE4FE2F47D94E3F3D12D712C0HFu3H" TargetMode="External"/><Relationship Id="rId35" Type="http://schemas.openxmlformats.org/officeDocument/2006/relationships/hyperlink" Target="consultantplus://offline/ref=FCA22378241E8A49C8D7FA400EE1B846EBDBC5D09B19E3B8975CDD242115561FDCE4A62346DA503E3707814386A4E1853BB2DE79F57CA063H6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Марина В. Ерофеева</cp:lastModifiedBy>
  <cp:revision>2</cp:revision>
  <dcterms:created xsi:type="dcterms:W3CDTF">2022-09-13T11:56:00Z</dcterms:created>
  <dcterms:modified xsi:type="dcterms:W3CDTF">2022-09-13T11:56:00Z</dcterms:modified>
</cp:coreProperties>
</file>