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9A" w:rsidRPr="00D2346D" w:rsidRDefault="00F96993" w:rsidP="006A2E9A">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r w:rsidR="006A2E9A" w:rsidRPr="00D2346D">
        <w:rPr>
          <w:b/>
          <w:sz w:val="22"/>
          <w:szCs w:val="22"/>
        </w:rPr>
        <w:t>УТВЕРЖДАЮ</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Руководитель КУ ВО «Фонд</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госимущества Воронежской области»</w:t>
      </w:r>
    </w:p>
    <w:p w:rsidR="00F96993" w:rsidRPr="00D2346D" w:rsidRDefault="00F96993" w:rsidP="006A2E9A">
      <w:pPr>
        <w:pStyle w:val="1"/>
        <w:tabs>
          <w:tab w:val="left" w:pos="5529"/>
        </w:tabs>
        <w:rPr>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_______________ О.М. Пащенко</w:t>
      </w:r>
    </w:p>
    <w:p w:rsidR="00F96993" w:rsidRPr="00D2346D" w:rsidRDefault="0095025F" w:rsidP="00F96993">
      <w:pPr>
        <w:ind w:left="3120" w:firstLine="3960"/>
        <w:jc w:val="center"/>
        <w:rPr>
          <w:rFonts w:ascii="Times New Roman" w:hAnsi="Times New Roman" w:cs="Times New Roman"/>
          <w:b/>
          <w:sz w:val="22"/>
          <w:szCs w:val="22"/>
        </w:rPr>
      </w:pPr>
      <w:r w:rsidRPr="00D2346D">
        <w:rPr>
          <w:rFonts w:ascii="Times New Roman" w:hAnsi="Times New Roman" w:cs="Times New Roman"/>
          <w:b/>
          <w:sz w:val="22"/>
          <w:szCs w:val="22"/>
        </w:rPr>
        <w:t>«___»______________2023</w:t>
      </w:r>
      <w:r w:rsidR="00F96993" w:rsidRPr="00D2346D">
        <w:rPr>
          <w:rFonts w:ascii="Times New Roman" w:hAnsi="Times New Roman" w:cs="Times New Roman"/>
          <w:b/>
          <w:sz w:val="22"/>
          <w:szCs w:val="22"/>
        </w:rPr>
        <w:t xml:space="preserve"> г.</w:t>
      </w:r>
    </w:p>
    <w:p w:rsidR="00F96993" w:rsidRPr="00D2346D" w:rsidRDefault="00F96993" w:rsidP="00F96993">
      <w:pPr>
        <w:jc w:val="right"/>
        <w:rPr>
          <w:rFonts w:ascii="Times New Roman" w:hAnsi="Times New Roman" w:cs="Times New Roman"/>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Для размещения на официальных сайтах</w:t>
      </w:r>
      <w:r w:rsidR="003F1304" w:rsidRPr="00D2346D">
        <w:rPr>
          <w:rFonts w:ascii="Times New Roman" w:hAnsi="Times New Roman" w:cs="Times New Roman"/>
          <w:b/>
          <w:sz w:val="22"/>
          <w:szCs w:val="22"/>
        </w:rPr>
        <w:t>:</w:t>
      </w:r>
      <w:r w:rsidRPr="00D2346D">
        <w:rPr>
          <w:rFonts w:ascii="Times New Roman" w:hAnsi="Times New Roman" w:cs="Times New Roman"/>
          <w:b/>
          <w:sz w:val="22"/>
          <w:szCs w:val="22"/>
        </w:rPr>
        <w:t xml:space="preserve"> </w:t>
      </w:r>
    </w:p>
    <w:p w:rsidR="005F1FD4" w:rsidRPr="00D2346D" w:rsidRDefault="0073535B" w:rsidP="003F1304">
      <w:pPr>
        <w:ind w:firstLine="3960"/>
        <w:jc w:val="right"/>
        <w:rPr>
          <w:rFonts w:ascii="Times New Roman" w:hAnsi="Times New Roman" w:cs="Times New Roman"/>
          <w:b/>
          <w:sz w:val="22"/>
          <w:szCs w:val="22"/>
        </w:rPr>
      </w:pPr>
      <w:hyperlink r:id="rId8" w:history="1">
        <w:r w:rsidR="00F96993" w:rsidRPr="00D2346D">
          <w:rPr>
            <w:rStyle w:val="a3"/>
            <w:rFonts w:ascii="Times New Roman" w:hAnsi="Times New Roman" w:cs="Times New Roman"/>
            <w:b/>
            <w:color w:val="auto"/>
            <w:sz w:val="22"/>
            <w:szCs w:val="22"/>
            <w:lang w:val="en-US"/>
          </w:rPr>
          <w:t>www</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torgi</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gov</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ru</w:t>
        </w:r>
      </w:hyperlink>
      <w:r w:rsidR="00F96993" w:rsidRPr="00D2346D">
        <w:rPr>
          <w:rFonts w:ascii="Times New Roman" w:hAnsi="Times New Roman" w:cs="Times New Roman"/>
          <w:b/>
          <w:sz w:val="22"/>
          <w:szCs w:val="22"/>
        </w:rPr>
        <w:t>,</w:t>
      </w:r>
      <w:r w:rsidR="00CF7886">
        <w:rPr>
          <w:rFonts w:ascii="Times New Roman" w:hAnsi="Times New Roman" w:cs="Times New Roman"/>
          <w:b/>
          <w:sz w:val="22"/>
          <w:szCs w:val="22"/>
        </w:rPr>
        <w:t xml:space="preserve"> </w:t>
      </w:r>
      <w:r w:rsidR="00CF7886" w:rsidRPr="00295E8E">
        <w:rPr>
          <w:rFonts w:ascii="Times New Roman" w:hAnsi="Times New Roman" w:cs="Times New Roman"/>
          <w:b/>
          <w:sz w:val="22"/>
          <w:szCs w:val="22"/>
          <w:u w:val="single"/>
        </w:rPr>
        <w:t>www.roseltorg.ru</w:t>
      </w:r>
      <w:r w:rsidR="00FA6F8F" w:rsidRPr="00D2346D">
        <w:rPr>
          <w:rFonts w:ascii="Times New Roman" w:hAnsi="Times New Roman" w:cs="Times New Roman"/>
          <w:b/>
          <w:sz w:val="22"/>
          <w:szCs w:val="22"/>
        </w:rPr>
        <w:t>,</w:t>
      </w:r>
    </w:p>
    <w:p w:rsidR="00F96993" w:rsidRPr="00D2346D" w:rsidRDefault="0073535B" w:rsidP="003F1304">
      <w:pPr>
        <w:ind w:firstLine="3960"/>
        <w:jc w:val="right"/>
        <w:rPr>
          <w:rFonts w:ascii="Times New Roman" w:hAnsi="Times New Roman" w:cs="Times New Roman"/>
          <w:b/>
          <w:sz w:val="22"/>
          <w:szCs w:val="22"/>
        </w:rPr>
      </w:pPr>
      <w:hyperlink r:id="rId9" w:history="1">
        <w:r w:rsidR="007705F2" w:rsidRPr="002C011F">
          <w:rPr>
            <w:rStyle w:val="a3"/>
            <w:rFonts w:ascii="Times New Roman" w:hAnsi="Times New Roman" w:cs="Times New Roman"/>
            <w:b/>
            <w:sz w:val="22"/>
            <w:szCs w:val="22"/>
          </w:rPr>
          <w:t>www.</w:t>
        </w:r>
        <w:r w:rsidR="007705F2" w:rsidRPr="002C011F">
          <w:rPr>
            <w:rStyle w:val="a3"/>
            <w:rFonts w:ascii="Times New Roman" w:hAnsi="Times New Roman" w:cs="Times New Roman"/>
            <w:b/>
            <w:sz w:val="22"/>
            <w:szCs w:val="22"/>
            <w:lang w:val="en-US"/>
          </w:rPr>
          <w:t>d</w:t>
        </w:r>
        <w:r w:rsidR="007705F2" w:rsidRPr="002C011F">
          <w:rPr>
            <w:rStyle w:val="a3"/>
            <w:rFonts w:ascii="Times New Roman" w:hAnsi="Times New Roman" w:cs="Times New Roman"/>
            <w:b/>
            <w:sz w:val="22"/>
            <w:szCs w:val="22"/>
          </w:rPr>
          <w:t>izovo.ru</w:t>
        </w:r>
      </w:hyperlink>
      <w:r w:rsidR="00F96993" w:rsidRPr="00D2346D">
        <w:rPr>
          <w:rFonts w:ascii="Times New Roman" w:hAnsi="Times New Roman" w:cs="Times New Roman"/>
          <w:b/>
          <w:sz w:val="22"/>
          <w:szCs w:val="22"/>
        </w:rPr>
        <w:t xml:space="preserve">, </w:t>
      </w:r>
      <w:r w:rsidR="004D5690" w:rsidRPr="00D2346D">
        <w:rPr>
          <w:rFonts w:ascii="Times New Roman" w:hAnsi="Times New Roman" w:cs="Times New Roman"/>
          <w:b/>
          <w:sz w:val="22"/>
          <w:szCs w:val="22"/>
        </w:rPr>
        <w:t xml:space="preserve"> </w:t>
      </w:r>
      <w:hyperlink r:id="rId10" w:history="1">
        <w:r w:rsidR="00F96993" w:rsidRPr="00D2346D">
          <w:rPr>
            <w:rFonts w:ascii="Times New Roman" w:hAnsi="Times New Roman" w:cs="Times New Roman"/>
            <w:b/>
            <w:sz w:val="22"/>
            <w:szCs w:val="22"/>
            <w:u w:val="single"/>
          </w:rPr>
          <w:t>www.fgivo.ru</w:t>
        </w:r>
      </w:hyperlink>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6A07A0">
        <w:rPr>
          <w:rFonts w:ascii="Times New Roman" w:hAnsi="Times New Roman" w:cs="Times New Roman"/>
          <w:b/>
          <w:sz w:val="22"/>
          <w:szCs w:val="22"/>
        </w:rPr>
        <w:t>74</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w:t>
      </w:r>
      <w:r w:rsidR="00DF4CA3" w:rsidRPr="00265ADD">
        <w:rPr>
          <w:rFonts w:ascii="Times New Roman" w:hAnsi="Times New Roman"/>
          <w:sz w:val="22"/>
          <w:szCs w:val="22"/>
        </w:rPr>
        <w:t xml:space="preserve">от </w:t>
      </w:r>
      <w:r w:rsidR="006A07A0" w:rsidRPr="006A07A0">
        <w:rPr>
          <w:rFonts w:ascii="Times New Roman" w:hAnsi="Times New Roman"/>
          <w:sz w:val="22"/>
          <w:szCs w:val="22"/>
        </w:rPr>
        <w:t>02</w:t>
      </w:r>
      <w:r w:rsidR="00D456A5" w:rsidRPr="006A07A0">
        <w:rPr>
          <w:rFonts w:ascii="Times New Roman" w:hAnsi="Times New Roman"/>
          <w:sz w:val="22"/>
          <w:szCs w:val="22"/>
        </w:rPr>
        <w:t>.</w:t>
      </w:r>
      <w:r w:rsidR="006A07A0" w:rsidRPr="006A07A0">
        <w:rPr>
          <w:rFonts w:ascii="Times New Roman" w:hAnsi="Times New Roman"/>
          <w:sz w:val="22"/>
          <w:szCs w:val="22"/>
        </w:rPr>
        <w:t>11</w:t>
      </w:r>
      <w:r w:rsidR="00D456A5" w:rsidRPr="006A07A0">
        <w:rPr>
          <w:rFonts w:ascii="Times New Roman" w:hAnsi="Times New Roman"/>
          <w:sz w:val="22"/>
          <w:szCs w:val="22"/>
        </w:rPr>
        <w:t>.2023</w:t>
      </w:r>
      <w:r w:rsidR="00293C64" w:rsidRPr="006A07A0">
        <w:rPr>
          <w:rFonts w:ascii="Times New Roman" w:hAnsi="Times New Roman"/>
          <w:sz w:val="22"/>
          <w:szCs w:val="22"/>
        </w:rPr>
        <w:t xml:space="preserve"> </w:t>
      </w:r>
      <w:r w:rsidR="00D456A5" w:rsidRPr="006A07A0">
        <w:rPr>
          <w:rFonts w:ascii="Times New Roman" w:hAnsi="Times New Roman"/>
          <w:sz w:val="22"/>
          <w:szCs w:val="22"/>
        </w:rPr>
        <w:t xml:space="preserve">№ </w:t>
      </w:r>
      <w:r w:rsidR="006A07A0" w:rsidRPr="006A07A0">
        <w:rPr>
          <w:rFonts w:ascii="Times New Roman" w:hAnsi="Times New Roman"/>
          <w:sz w:val="22"/>
          <w:szCs w:val="22"/>
        </w:rPr>
        <w:t>3141</w:t>
      </w:r>
      <w:r w:rsidRPr="00265ADD">
        <w:rPr>
          <w:rFonts w:ascii="Times New Roman" w:hAnsi="Times New Roman"/>
          <w:sz w:val="22"/>
          <w:szCs w:val="22"/>
        </w:rPr>
        <w:t xml:space="preserve"> </w:t>
      </w:r>
      <w:r w:rsidR="000C275C" w:rsidRPr="00265AD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Москва, </w:t>
      </w:r>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w:t>
      </w:r>
      <w:r w:rsidRPr="000C275C">
        <w:rPr>
          <w:rFonts w:ascii="Times New Roman" w:hAnsi="Times New Roman" w:cs="Times New Roman"/>
          <w:sz w:val="22"/>
          <w:szCs w:val="22"/>
        </w:rPr>
        <w:t>e-mail: </w:t>
      </w:r>
      <w:r w:rsidR="000C275C" w:rsidRPr="000C275C">
        <w:rPr>
          <w:rFonts w:ascii="Times New Roman" w:hAnsi="Times New Roman" w:cs="Times New Roman"/>
          <w:sz w:val="22"/>
          <w:szCs w:val="22"/>
          <w:u w:val="single"/>
          <w:lang w:val="en-US"/>
        </w:rPr>
        <w:t>fgivo</w:t>
      </w:r>
      <w:r w:rsidR="000C275C" w:rsidRPr="000C275C">
        <w:rPr>
          <w:rFonts w:ascii="Times New Roman" w:hAnsi="Times New Roman" w:cs="Times New Roman"/>
          <w:sz w:val="22"/>
          <w:szCs w:val="22"/>
          <w:u w:val="single"/>
        </w:rPr>
        <w:t>@</w:t>
      </w:r>
      <w:r w:rsidR="000C275C" w:rsidRPr="000C275C">
        <w:rPr>
          <w:rFonts w:ascii="Times New Roman" w:hAnsi="Times New Roman" w:cs="Times New Roman"/>
          <w:sz w:val="22"/>
          <w:szCs w:val="22"/>
          <w:u w:val="single"/>
          <w:lang w:val="en-US"/>
        </w:rPr>
        <w:t>govvrn</w:t>
      </w:r>
      <w:r w:rsidR="000C275C" w:rsidRPr="000C275C">
        <w:rPr>
          <w:rFonts w:ascii="Times New Roman" w:hAnsi="Times New Roman" w:cs="Times New Roman"/>
          <w:sz w:val="22"/>
          <w:szCs w:val="22"/>
          <w:u w:val="single"/>
        </w:rPr>
        <w:t>.</w:t>
      </w:r>
      <w:r w:rsidR="000C275C" w:rsidRPr="000C275C">
        <w:rPr>
          <w:rFonts w:ascii="Times New Roman" w:hAnsi="Times New Roman" w:cs="Times New Roman"/>
          <w:sz w:val="22"/>
          <w:szCs w:val="22"/>
          <w:u w:val="single"/>
          <w:lang w:val="en-US"/>
        </w:rPr>
        <w:t>ru</w:t>
      </w:r>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govvrn</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ru</w:t>
      </w:r>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начала приема заявок в электронном аукционе – </w:t>
      </w:r>
      <w:r w:rsidR="006A07A0" w:rsidRPr="006A07A0">
        <w:rPr>
          <w:rFonts w:ascii="Times New Roman" w:hAnsi="Times New Roman" w:cs="Times New Roman"/>
          <w:sz w:val="22"/>
          <w:szCs w:val="22"/>
        </w:rPr>
        <w:t>08 ноября</w:t>
      </w:r>
      <w:r w:rsidR="00716625" w:rsidRPr="006A07A0">
        <w:rPr>
          <w:rFonts w:ascii="Times New Roman" w:hAnsi="Times New Roman" w:cs="Times New Roman"/>
          <w:sz w:val="22"/>
          <w:szCs w:val="22"/>
        </w:rPr>
        <w:t xml:space="preserve"> </w:t>
      </w:r>
      <w:r w:rsidR="00D456A5" w:rsidRPr="006A07A0">
        <w:rPr>
          <w:rFonts w:ascii="Times New Roman" w:hAnsi="Times New Roman" w:cs="Times New Roman"/>
          <w:sz w:val="22"/>
          <w:szCs w:val="22"/>
        </w:rPr>
        <w:t>2023 г. в 09 часов 00</w:t>
      </w:r>
      <w:r w:rsidRPr="006A07A0">
        <w:rPr>
          <w:rFonts w:ascii="Times New Roman" w:hAnsi="Times New Roman" w:cs="Times New Roman"/>
          <w:sz w:val="22"/>
          <w:szCs w:val="22"/>
        </w:rPr>
        <w:t xml:space="preserve"> минут. </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окончания приема заявок в электронном аукционе – </w:t>
      </w:r>
      <w:r w:rsidR="006A07A0" w:rsidRPr="006A07A0">
        <w:rPr>
          <w:rFonts w:ascii="Times New Roman" w:hAnsi="Times New Roman" w:cs="Times New Roman"/>
          <w:sz w:val="22"/>
          <w:szCs w:val="22"/>
        </w:rPr>
        <w:t>04 декабря</w:t>
      </w:r>
      <w:r w:rsidR="00D456A5" w:rsidRPr="006A07A0">
        <w:rPr>
          <w:rFonts w:ascii="Times New Roman" w:hAnsi="Times New Roman" w:cs="Times New Roman"/>
          <w:sz w:val="22"/>
          <w:szCs w:val="22"/>
        </w:rPr>
        <w:t xml:space="preserve"> 2023 г. в 11 часов 00</w:t>
      </w:r>
      <w:r w:rsidRPr="006A07A0">
        <w:rPr>
          <w:rFonts w:ascii="Times New Roman" w:hAnsi="Times New Roman" w:cs="Times New Roman"/>
          <w:sz w:val="22"/>
          <w:szCs w:val="22"/>
        </w:rPr>
        <w:t xml:space="preserve"> минут.</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рассмотрения заявок на участие в электронном аукционе – </w:t>
      </w:r>
      <w:r w:rsidR="006A07A0" w:rsidRPr="006A07A0">
        <w:rPr>
          <w:rFonts w:ascii="Times New Roman" w:hAnsi="Times New Roman" w:cs="Times New Roman"/>
          <w:sz w:val="22"/>
          <w:szCs w:val="22"/>
        </w:rPr>
        <w:t>06 декабря</w:t>
      </w:r>
      <w:r w:rsidR="00F864C9" w:rsidRPr="006A07A0">
        <w:rPr>
          <w:rFonts w:ascii="Times New Roman" w:hAnsi="Times New Roman" w:cs="Times New Roman"/>
          <w:sz w:val="22"/>
          <w:szCs w:val="22"/>
        </w:rPr>
        <w:t xml:space="preserve"> 2023 г</w:t>
      </w:r>
      <w:r w:rsidRPr="006A07A0">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время и место проведения электронного аукциона – </w:t>
      </w:r>
      <w:r w:rsidR="006A07A0" w:rsidRPr="006A07A0">
        <w:rPr>
          <w:rFonts w:ascii="Times New Roman" w:hAnsi="Times New Roman" w:cs="Times New Roman"/>
          <w:sz w:val="22"/>
          <w:szCs w:val="22"/>
        </w:rPr>
        <w:t>08 декабря</w:t>
      </w:r>
      <w:r w:rsidR="00D456A5" w:rsidRPr="006A07A0">
        <w:rPr>
          <w:rFonts w:ascii="Times New Roman" w:hAnsi="Times New Roman" w:cs="Times New Roman"/>
          <w:sz w:val="22"/>
          <w:szCs w:val="22"/>
        </w:rPr>
        <w:t xml:space="preserve"> 2023 г. в 09 часов 15</w:t>
      </w:r>
      <w:r w:rsidRPr="006A07A0">
        <w:rPr>
          <w:rFonts w:ascii="Times New Roman" w:hAnsi="Times New Roman" w:cs="Times New Roman"/>
          <w:sz w:val="22"/>
          <w:szCs w:val="22"/>
        </w:rPr>
        <w:t xml:space="preserve"> минут </w:t>
      </w:r>
      <w:r w:rsidR="00A364C3" w:rsidRPr="006A07A0">
        <w:rPr>
          <w:rFonts w:ascii="Times New Roman" w:hAnsi="Times New Roman" w:cs="Times New Roman"/>
          <w:sz w:val="22"/>
          <w:szCs w:val="22"/>
        </w:rPr>
        <w:t>на элек</w:t>
      </w:r>
      <w:r w:rsidR="00A364C3" w:rsidRPr="00295E8E">
        <w:rPr>
          <w:rFonts w:ascii="Times New Roman" w:hAnsi="Times New Roman" w:cs="Times New Roman"/>
          <w:sz w:val="22"/>
          <w:szCs w:val="22"/>
        </w:rPr>
        <w:t>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11"/>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9E71F3" w:rsidP="00EB6993">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Хохольский</w:t>
            </w:r>
            <w:r w:rsidR="00C168BB">
              <w:rPr>
                <w:rFonts w:ascii="Times New Roman" w:hAnsi="Times New Roman" w:cs="Times New Roman"/>
                <w:b/>
                <w:bCs/>
                <w:sz w:val="22"/>
                <w:szCs w:val="22"/>
                <w:lang w:eastAsia="en-US"/>
              </w:rPr>
              <w:t xml:space="preserve"> </w:t>
            </w:r>
            <w:r w:rsidR="00624D82">
              <w:rPr>
                <w:rFonts w:ascii="Times New Roman" w:hAnsi="Times New Roman" w:cs="Times New Roman"/>
                <w:b/>
                <w:bCs/>
                <w:sz w:val="22"/>
                <w:szCs w:val="22"/>
                <w:lang w:eastAsia="en-US"/>
              </w:rPr>
              <w:t>район</w:t>
            </w:r>
            <w:r>
              <w:rPr>
                <w:rFonts w:ascii="Times New Roman" w:hAnsi="Times New Roman" w:cs="Times New Roman"/>
                <w:b/>
                <w:bCs/>
                <w:sz w:val="22"/>
                <w:szCs w:val="22"/>
                <w:lang w:eastAsia="en-US"/>
              </w:rPr>
              <w:t xml:space="preserve"> (</w:t>
            </w:r>
            <w:r w:rsidR="00EB6993">
              <w:rPr>
                <w:rFonts w:ascii="Times New Roman" w:hAnsi="Times New Roman" w:cs="Times New Roman"/>
                <w:b/>
                <w:bCs/>
                <w:sz w:val="22"/>
                <w:szCs w:val="22"/>
                <w:lang w:eastAsia="en-US"/>
              </w:rPr>
              <w:t>Хохольское г/п</w:t>
            </w:r>
            <w:r>
              <w:rPr>
                <w:rFonts w:ascii="Times New Roman" w:hAnsi="Times New Roman" w:cs="Times New Roman"/>
                <w:b/>
                <w:bCs/>
                <w:sz w:val="22"/>
                <w:szCs w:val="22"/>
                <w:lang w:eastAsia="en-US"/>
              </w:rPr>
              <w:t>)</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p>
        </w:tc>
      </w:tr>
      <w:tr w:rsidR="006A07A0"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36:31:3800003:327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70 657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both"/>
              <w:rPr>
                <w:rFonts w:ascii="Times New Roman" w:hAnsi="Times New Roman" w:cs="Times New Roman"/>
                <w:sz w:val="22"/>
                <w:szCs w:val="22"/>
              </w:rPr>
            </w:pPr>
            <w:r w:rsidRPr="006A07A0">
              <w:rPr>
                <w:rStyle w:val="fontstyle01"/>
                <w:rFonts w:ascii="Times New Roman" w:hAnsi="Times New Roman" w:cs="Times New Roman"/>
                <w:sz w:val="22"/>
                <w:szCs w:val="22"/>
              </w:rPr>
              <w:t>Воронежская обл,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04481A" w:rsidRDefault="006A07A0" w:rsidP="006A07A0">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5 935,00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5 935,00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p>
        </w:tc>
      </w:tr>
      <w:tr w:rsidR="006A07A0"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36:31:3800003:328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230 573</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both"/>
              <w:rPr>
                <w:rFonts w:ascii="Times New Roman" w:hAnsi="Times New Roman" w:cs="Times New Roman"/>
                <w:sz w:val="22"/>
                <w:szCs w:val="22"/>
              </w:rPr>
            </w:pPr>
            <w:r w:rsidRPr="006A07A0">
              <w:rPr>
                <w:rStyle w:val="fontstyle01"/>
                <w:rFonts w:ascii="Times New Roman" w:hAnsi="Times New Roman" w:cs="Times New Roman"/>
                <w:sz w:val="22"/>
                <w:szCs w:val="22"/>
              </w:rPr>
              <w:t>Воронежская обл,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04481A" w:rsidRDefault="006A07A0" w:rsidP="006A07A0">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19 368,00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19 368,00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3</w:t>
            </w:r>
            <w:r w:rsidRPr="00800F95">
              <w:rPr>
                <w:rFonts w:ascii="Times New Roman" w:hAnsi="Times New Roman" w:cs="Times New Roman"/>
                <w:sz w:val="22"/>
                <w:szCs w:val="22"/>
                <w:lang w:eastAsia="en-US"/>
              </w:rPr>
              <w:t xml:space="preserve"> </w:t>
            </w:r>
          </w:p>
        </w:tc>
      </w:tr>
      <w:tr w:rsidR="006A07A0"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36:31:3800003:329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sz w:val="22"/>
                <w:szCs w:val="22"/>
              </w:rPr>
              <w:t>32 752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both"/>
              <w:rPr>
                <w:rFonts w:ascii="Times New Roman" w:hAnsi="Times New Roman" w:cs="Times New Roman"/>
                <w:sz w:val="22"/>
                <w:szCs w:val="22"/>
              </w:rPr>
            </w:pPr>
            <w:r w:rsidRPr="006A07A0">
              <w:rPr>
                <w:rStyle w:val="fontstyle01"/>
                <w:rFonts w:ascii="Times New Roman" w:hAnsi="Times New Roman" w:cs="Times New Roman"/>
                <w:sz w:val="22"/>
                <w:szCs w:val="22"/>
              </w:rPr>
              <w:t>Воронежская обл,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04481A" w:rsidRDefault="006A07A0" w:rsidP="006A07A0">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2 456,00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2 456,00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4</w:t>
            </w:r>
            <w:r w:rsidRPr="00800F95">
              <w:rPr>
                <w:rFonts w:ascii="Times New Roman" w:hAnsi="Times New Roman" w:cs="Times New Roman"/>
                <w:sz w:val="22"/>
                <w:szCs w:val="22"/>
                <w:lang w:eastAsia="en-US"/>
              </w:rPr>
              <w:t xml:space="preserve"> </w:t>
            </w:r>
          </w:p>
        </w:tc>
      </w:tr>
      <w:tr w:rsidR="006A07A0"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36:31:3800005:250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center"/>
              <w:rPr>
                <w:rFonts w:ascii="Times New Roman" w:hAnsi="Times New Roman" w:cs="Times New Roman"/>
                <w:color w:val="000000"/>
                <w:sz w:val="22"/>
                <w:szCs w:val="22"/>
                <w:highlight w:val="yellow"/>
              </w:rPr>
            </w:pPr>
            <w:r w:rsidRPr="006A07A0">
              <w:rPr>
                <w:rFonts w:ascii="Times New Roman" w:hAnsi="Times New Roman" w:cs="Times New Roman"/>
                <w:sz w:val="22"/>
                <w:szCs w:val="22"/>
              </w:rPr>
              <w:t>70 994</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6A07A0" w:rsidRDefault="006A07A0" w:rsidP="006A07A0">
            <w:pPr>
              <w:jc w:val="both"/>
              <w:rPr>
                <w:rFonts w:ascii="Times New Roman" w:hAnsi="Times New Roman" w:cs="Times New Roman"/>
                <w:sz w:val="22"/>
                <w:szCs w:val="22"/>
              </w:rPr>
            </w:pPr>
            <w:r w:rsidRPr="006A07A0">
              <w:rPr>
                <w:rStyle w:val="fontstyle01"/>
                <w:rFonts w:ascii="Times New Roman" w:hAnsi="Times New Roman" w:cs="Times New Roman"/>
                <w:sz w:val="22"/>
                <w:szCs w:val="22"/>
              </w:rPr>
              <w:t>Воронежская обл,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04481A" w:rsidRDefault="006A07A0" w:rsidP="006A07A0">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5 963,00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7A0" w:rsidRPr="00D2346D" w:rsidRDefault="006A07A0" w:rsidP="006A07A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5 963,00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5</w:t>
            </w:r>
            <w:r w:rsidRPr="00800F95">
              <w:rPr>
                <w:rFonts w:ascii="Times New Roman" w:hAnsi="Times New Roman" w:cs="Times New Roman"/>
                <w:sz w:val="22"/>
                <w:szCs w:val="22"/>
                <w:lang w:eastAsia="en-US"/>
              </w:rPr>
              <w:t xml:space="preserve"> </w:t>
            </w:r>
          </w:p>
        </w:tc>
      </w:tr>
      <w:tr w:rsidR="00EB6993"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D2346D" w:rsidRDefault="00EB6993" w:rsidP="00EB699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6A07A0" w:rsidRDefault="00EB6993" w:rsidP="00EB6993">
            <w:pPr>
              <w:jc w:val="center"/>
              <w:rPr>
                <w:rFonts w:ascii="Times New Roman" w:hAnsi="Times New Roman" w:cs="Times New Roman"/>
                <w:color w:val="000000"/>
                <w:sz w:val="22"/>
                <w:szCs w:val="22"/>
                <w:highlight w:val="yellow"/>
              </w:rPr>
            </w:pPr>
            <w:r w:rsidRPr="006A07A0">
              <w:rPr>
                <w:rFonts w:ascii="Times New Roman" w:hAnsi="Times New Roman" w:cs="Times New Roman"/>
                <w:color w:val="000000"/>
                <w:sz w:val="22"/>
                <w:szCs w:val="22"/>
              </w:rPr>
              <w:t>36:31:3800005:251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6A07A0" w:rsidRDefault="00EB6993" w:rsidP="00EB6993">
            <w:pPr>
              <w:jc w:val="center"/>
              <w:rPr>
                <w:rFonts w:ascii="Times New Roman" w:hAnsi="Times New Roman" w:cs="Times New Roman"/>
                <w:color w:val="000000"/>
                <w:sz w:val="22"/>
                <w:szCs w:val="22"/>
                <w:highlight w:val="yellow"/>
              </w:rPr>
            </w:pPr>
            <w:r w:rsidRPr="006A07A0">
              <w:rPr>
                <w:rFonts w:ascii="Times New Roman" w:hAnsi="Times New Roman" w:cs="Times New Roman"/>
                <w:sz w:val="22"/>
                <w:szCs w:val="22"/>
              </w:rPr>
              <w:t>916 802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6A07A0" w:rsidRDefault="00EB6993" w:rsidP="00EB6993">
            <w:pPr>
              <w:jc w:val="both"/>
              <w:rPr>
                <w:rFonts w:ascii="Times New Roman" w:hAnsi="Times New Roman" w:cs="Times New Roman"/>
                <w:sz w:val="22"/>
                <w:szCs w:val="22"/>
              </w:rPr>
            </w:pPr>
            <w:r w:rsidRPr="006A07A0">
              <w:rPr>
                <w:rStyle w:val="fontstyle01"/>
                <w:rFonts w:ascii="Times New Roman" w:hAnsi="Times New Roman" w:cs="Times New Roman"/>
                <w:sz w:val="22"/>
                <w:szCs w:val="22"/>
              </w:rPr>
              <w:t>Воронежская обл,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04481A" w:rsidRDefault="00EB6993" w:rsidP="00EB6993">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D2346D" w:rsidRDefault="00EB6993" w:rsidP="00EB699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80 220,00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6993" w:rsidRPr="00D2346D" w:rsidRDefault="00EB6993" w:rsidP="00EB699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80 220,00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441AD4" w:rsidP="00E52235">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У земельных участков по лотам №№ 1-</w:t>
      </w:r>
      <w:r>
        <w:rPr>
          <w:rFonts w:ascii="Times New Roman" w:hAnsi="Times New Roman" w:cs="Times New Roman"/>
          <w:sz w:val="22"/>
          <w:szCs w:val="22"/>
        </w:rPr>
        <w:t>5</w:t>
      </w:r>
      <w:r w:rsidRPr="00133C6F">
        <w:rPr>
          <w:rFonts w:ascii="Times New Roman" w:hAnsi="Times New Roman" w:cs="Times New Roman"/>
          <w:sz w:val="22"/>
          <w:szCs w:val="22"/>
        </w:rPr>
        <w:t>:</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 xml:space="preserve">Категория земель – земли сельскохозяйственного назначения. </w:t>
      </w:r>
    </w:p>
    <w:p w:rsidR="005F29CB" w:rsidRPr="00133C6F"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133C6F">
        <w:rPr>
          <w:rFonts w:ascii="Times New Roman" w:hAnsi="Times New Roman" w:cs="Times New Roman"/>
          <w:sz w:val="22"/>
          <w:szCs w:val="22"/>
        </w:rPr>
        <w:t>Границы – описаны в кадастровых выписках земельных участков.</w:t>
      </w:r>
    </w:p>
    <w:p w:rsidR="005F29CB"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Обреме</w:t>
      </w:r>
      <w:r>
        <w:rPr>
          <w:rFonts w:ascii="Times New Roman" w:hAnsi="Times New Roman" w:cs="Times New Roman"/>
          <w:sz w:val="22"/>
          <w:szCs w:val="22"/>
        </w:rPr>
        <w:t>нения, ограничения</w:t>
      </w:r>
      <w:r w:rsidR="00EB6993">
        <w:rPr>
          <w:rFonts w:ascii="Times New Roman" w:hAnsi="Times New Roman" w:cs="Times New Roman"/>
          <w:sz w:val="22"/>
          <w:szCs w:val="22"/>
        </w:rPr>
        <w:t xml:space="preserve"> – не зарегистрированы.</w:t>
      </w:r>
    </w:p>
    <w:p w:rsidR="005F29CB" w:rsidRPr="0004481A" w:rsidRDefault="00EB6993" w:rsidP="005F29CB">
      <w:pPr>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Pr="00D2346D">
        <w:rPr>
          <w:rFonts w:ascii="Times New Roman" w:hAnsi="Times New Roman" w:cs="Times New Roman"/>
          <w:sz w:val="22"/>
          <w:szCs w:val="22"/>
        </w:rPr>
        <w:t xml:space="preserve"> – </w:t>
      </w:r>
      <w:r>
        <w:rPr>
          <w:rFonts w:ascii="Times New Roman" w:hAnsi="Times New Roman" w:cs="Times New Roman"/>
          <w:sz w:val="22"/>
          <w:szCs w:val="22"/>
        </w:rPr>
        <w:t>3 (три) года</w:t>
      </w:r>
      <w:r w:rsidRPr="00D2346D">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2"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4"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5"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.doc, .docx, .pdf, .rtf, .zip, .7z, .jpg, .gif, .png.</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аукционе подписывается Организатором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6A07A0"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3531AC">
        <w:rPr>
          <w:rFonts w:ascii="Times New Roman" w:hAnsi="Times New Roman" w:cs="Times New Roman"/>
          <w:b/>
          <w:sz w:val="22"/>
          <w:szCs w:val="22"/>
        </w:rPr>
        <w:t>74</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torgi</w:t>
      </w:r>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ru</w:t>
      </w:r>
      <w:r w:rsidRPr="00D2346D">
        <w:rPr>
          <w:rFonts w:ascii="Times New Roman" w:hAnsi="Times New Roman" w:cs="Times New Roman"/>
          <w:sz w:val="22"/>
          <w:szCs w:val="22"/>
        </w:rPr>
        <w:t xml:space="preserve">, </w:t>
      </w:r>
      <w:hyperlink r:id="rId16"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7"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8"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705F2">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r w:rsidR="00896F3E" w:rsidRPr="002029BE">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м.п.</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Министерство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ст.ст.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lang w:val="en-US"/>
        </w:rPr>
        <w:t>mizo</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govvrn</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ru</w:t>
      </w:r>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03" w:rsidRDefault="00A56003" w:rsidP="00F96993">
      <w:r>
        <w:separator/>
      </w:r>
    </w:p>
  </w:endnote>
  <w:endnote w:type="continuationSeparator" w:id="0">
    <w:p w:rsidR="00A56003" w:rsidRDefault="00A56003"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03" w:rsidRDefault="00A56003" w:rsidP="00F96993">
      <w:r>
        <w:separator/>
      </w:r>
    </w:p>
  </w:footnote>
  <w:footnote w:type="continuationSeparator" w:id="0">
    <w:p w:rsidR="00A56003" w:rsidRDefault="00A56003"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572F8"/>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531AC"/>
    <w:rsid w:val="003657FB"/>
    <w:rsid w:val="003660D0"/>
    <w:rsid w:val="00371C54"/>
    <w:rsid w:val="00372777"/>
    <w:rsid w:val="00374EA4"/>
    <w:rsid w:val="00376E36"/>
    <w:rsid w:val="0038035F"/>
    <w:rsid w:val="003950E6"/>
    <w:rsid w:val="003A6F4C"/>
    <w:rsid w:val="003A7686"/>
    <w:rsid w:val="003D669E"/>
    <w:rsid w:val="003D7BA1"/>
    <w:rsid w:val="003E4A60"/>
    <w:rsid w:val="003F1304"/>
    <w:rsid w:val="003F5CCC"/>
    <w:rsid w:val="00402C99"/>
    <w:rsid w:val="00406C8B"/>
    <w:rsid w:val="004123F9"/>
    <w:rsid w:val="004135E4"/>
    <w:rsid w:val="004314FA"/>
    <w:rsid w:val="00441AD4"/>
    <w:rsid w:val="004439B9"/>
    <w:rsid w:val="00444BAF"/>
    <w:rsid w:val="0044728C"/>
    <w:rsid w:val="00472516"/>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7A0"/>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535B"/>
    <w:rsid w:val="00736F29"/>
    <w:rsid w:val="00754B9E"/>
    <w:rsid w:val="00755B52"/>
    <w:rsid w:val="00760D90"/>
    <w:rsid w:val="00762AED"/>
    <w:rsid w:val="00764386"/>
    <w:rsid w:val="007705F2"/>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B6993"/>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9C25F2-799D-437E-9207-6C7CA7F8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UnresolvedMention">
    <w:name w:val="Unresolved Mention"/>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D2DA2E9545611505294F202C71AEF4FF01BP1FAI" TargetMode="External"/><Relationship Id="rId18" Type="http://schemas.openxmlformats.org/officeDocument/2006/relationships/hyperlink" Target="http://www.mi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CABE9545611505294F202C71AEF4FF01BP1FAI" TargetMode="External"/><Relationship Id="rId17" Type="http://schemas.openxmlformats.org/officeDocument/2006/relationships/hyperlink" Target="http://www.fgivo.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81A307CF831F074F2F3CCBA3BD5498AAFFBF8E0CF216D1218F41A6471D0C9B8125DC4DA24A3E003055E510ED0A611C718EF4DF3071B1F12P0F9I" TargetMode="External"/><Relationship Id="rId10" Type="http://schemas.openxmlformats.org/officeDocument/2006/relationships/hyperlink" Target="http://www.fgi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consultantplus://offline/ref=E81A307CF831F074F2F3CCBA3BD5498AAFFBF8E0CF216D1218F41A6471D0C9B8125DC4DC24A0E9545611505294F202C71AEF4FF01BP1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E3451-5755-4C0C-8768-B1376FE5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5998</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2023-10-25T12:10:00Z</cp:lastPrinted>
  <dcterms:created xsi:type="dcterms:W3CDTF">2023-11-08T09:25:00Z</dcterms:created>
  <dcterms:modified xsi:type="dcterms:W3CDTF">2023-11-08T09:25:00Z</dcterms:modified>
</cp:coreProperties>
</file>