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9944B3">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F96993" w:rsidP="00F96993">
      <w:pPr>
        <w:pStyle w:val="1"/>
        <w:jc w:val="right"/>
        <w:rPr>
          <w:b/>
          <w:sz w:val="22"/>
          <w:szCs w:val="22"/>
        </w:rPr>
      </w:pP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1B242A">
        <w:rPr>
          <w:rFonts w:ascii="Times New Roman" w:hAnsi="Times New Roman" w:cs="Times New Roman"/>
          <w:b/>
          <w:sz w:val="22"/>
          <w:szCs w:val="22"/>
        </w:rPr>
        <w:t>77</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9E71F3">
        <w:rPr>
          <w:rFonts w:ascii="Times New Roman" w:hAnsi="Times New Roman" w:cs="Times New Roman"/>
          <w:b/>
          <w:bCs/>
          <w:sz w:val="22"/>
          <w:szCs w:val="22"/>
        </w:rPr>
        <w:t>Хохольского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0C275C">
        <w:rPr>
          <w:rFonts w:ascii="Times New Roman" w:hAnsi="Times New Roman"/>
          <w:sz w:val="22"/>
          <w:szCs w:val="22"/>
        </w:rPr>
        <w:t>министерства</w:t>
      </w:r>
      <w:r w:rsidRPr="00D2346D">
        <w:rPr>
          <w:rFonts w:ascii="Times New Roman" w:hAnsi="Times New Roman"/>
          <w:sz w:val="22"/>
          <w:szCs w:val="22"/>
        </w:rPr>
        <w:t xml:space="preserve"> </w:t>
      </w:r>
      <w:r w:rsidRPr="00CE04ED">
        <w:rPr>
          <w:rFonts w:ascii="Times New Roman" w:hAnsi="Times New Roman"/>
          <w:sz w:val="22"/>
          <w:szCs w:val="22"/>
        </w:rPr>
        <w:t>имущественных и земельных отноше</w:t>
      </w:r>
      <w:r w:rsidR="00DF4CA3" w:rsidRPr="00CE04ED">
        <w:rPr>
          <w:rFonts w:ascii="Times New Roman" w:hAnsi="Times New Roman"/>
          <w:sz w:val="22"/>
          <w:szCs w:val="22"/>
        </w:rPr>
        <w:t xml:space="preserve">ний Воронежской области от </w:t>
      </w:r>
      <w:r w:rsidR="00CE04ED" w:rsidRPr="00CE04ED">
        <w:rPr>
          <w:rFonts w:ascii="Times New Roman" w:hAnsi="Times New Roman"/>
          <w:sz w:val="22"/>
          <w:szCs w:val="22"/>
        </w:rPr>
        <w:t>02</w:t>
      </w:r>
      <w:r w:rsidR="00D456A5" w:rsidRPr="00CE04ED">
        <w:rPr>
          <w:rFonts w:ascii="Times New Roman" w:hAnsi="Times New Roman"/>
          <w:sz w:val="22"/>
          <w:szCs w:val="22"/>
        </w:rPr>
        <w:t>.</w:t>
      </w:r>
      <w:r w:rsidR="002053C9" w:rsidRPr="00CE04ED">
        <w:rPr>
          <w:rFonts w:ascii="Times New Roman" w:hAnsi="Times New Roman"/>
          <w:sz w:val="22"/>
          <w:szCs w:val="22"/>
        </w:rPr>
        <w:t>1</w:t>
      </w:r>
      <w:r w:rsidR="00CE04ED" w:rsidRPr="00CE04ED">
        <w:rPr>
          <w:rFonts w:ascii="Times New Roman" w:hAnsi="Times New Roman"/>
          <w:sz w:val="22"/>
          <w:szCs w:val="22"/>
        </w:rPr>
        <w:t>1</w:t>
      </w:r>
      <w:r w:rsidR="00D456A5" w:rsidRPr="00CE04ED">
        <w:rPr>
          <w:rFonts w:ascii="Times New Roman" w:hAnsi="Times New Roman"/>
          <w:sz w:val="22"/>
          <w:szCs w:val="22"/>
        </w:rPr>
        <w:t>.2023</w:t>
      </w:r>
      <w:r w:rsidR="00293C64" w:rsidRPr="00CE04ED">
        <w:rPr>
          <w:rFonts w:ascii="Times New Roman" w:hAnsi="Times New Roman"/>
          <w:sz w:val="22"/>
          <w:szCs w:val="22"/>
        </w:rPr>
        <w:t xml:space="preserve"> </w:t>
      </w:r>
      <w:r w:rsidR="00D456A5" w:rsidRPr="00CE04ED">
        <w:rPr>
          <w:rFonts w:ascii="Times New Roman" w:hAnsi="Times New Roman"/>
          <w:sz w:val="22"/>
          <w:szCs w:val="22"/>
        </w:rPr>
        <w:t xml:space="preserve">№ </w:t>
      </w:r>
      <w:r w:rsidR="00CE04ED" w:rsidRPr="00CE04ED">
        <w:rPr>
          <w:rFonts w:ascii="Times New Roman" w:hAnsi="Times New Roman"/>
          <w:sz w:val="22"/>
          <w:szCs w:val="22"/>
        </w:rPr>
        <w:t>3203</w:t>
      </w:r>
      <w:r w:rsidRPr="00CE04ED">
        <w:rPr>
          <w:rFonts w:ascii="Times New Roman" w:hAnsi="Times New Roman"/>
          <w:sz w:val="22"/>
          <w:szCs w:val="22"/>
        </w:rPr>
        <w:t xml:space="preserve"> </w:t>
      </w:r>
      <w:r w:rsidR="000C275C" w:rsidRPr="00CE04ED">
        <w:rPr>
          <w:rFonts w:ascii="Times New Roman" w:hAnsi="Times New Roman"/>
          <w:sz w:val="22"/>
          <w:szCs w:val="22"/>
        </w:rPr>
        <w:t xml:space="preserve"> «О проведении</w:t>
      </w:r>
      <w:r w:rsidR="000C275C" w:rsidRPr="00D2346D">
        <w:rPr>
          <w:rFonts w:ascii="Times New Roman" w:hAnsi="Times New Roman"/>
          <w:sz w:val="22"/>
          <w:szCs w:val="22"/>
        </w:rPr>
        <w:t xml:space="preserve"> электронного аукциона на право заключения договоров аренды земельных участков, находящихся в собственности Воронежской области».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1B242A" w:rsidRDefault="008C1841" w:rsidP="008C1841">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Дата и время начала приема заявок в электронном аукционе – </w:t>
      </w:r>
      <w:r w:rsidR="001B242A" w:rsidRPr="001B242A">
        <w:rPr>
          <w:rFonts w:ascii="Times New Roman" w:hAnsi="Times New Roman" w:cs="Times New Roman"/>
          <w:sz w:val="22"/>
          <w:szCs w:val="22"/>
        </w:rPr>
        <w:t>09 ноября</w:t>
      </w:r>
      <w:r w:rsidR="00716625" w:rsidRPr="001B242A">
        <w:rPr>
          <w:rFonts w:ascii="Times New Roman" w:hAnsi="Times New Roman" w:cs="Times New Roman"/>
          <w:sz w:val="22"/>
          <w:szCs w:val="22"/>
        </w:rPr>
        <w:t xml:space="preserve"> </w:t>
      </w:r>
      <w:r w:rsidR="00D456A5" w:rsidRPr="001B242A">
        <w:rPr>
          <w:rFonts w:ascii="Times New Roman" w:hAnsi="Times New Roman" w:cs="Times New Roman"/>
          <w:sz w:val="22"/>
          <w:szCs w:val="22"/>
        </w:rPr>
        <w:t>2023 г. в 09 часов 00</w:t>
      </w:r>
      <w:r w:rsidRPr="001B242A">
        <w:rPr>
          <w:rFonts w:ascii="Times New Roman" w:hAnsi="Times New Roman" w:cs="Times New Roman"/>
          <w:sz w:val="22"/>
          <w:szCs w:val="22"/>
        </w:rPr>
        <w:t xml:space="preserve"> минут. </w:t>
      </w:r>
    </w:p>
    <w:p w:rsidR="008C1841" w:rsidRPr="001B242A" w:rsidRDefault="008C1841" w:rsidP="008C1841">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Дата и время окончания приема заявок в электронном аукционе – </w:t>
      </w:r>
      <w:r w:rsidR="001B242A" w:rsidRPr="001B242A">
        <w:rPr>
          <w:rFonts w:ascii="Times New Roman" w:hAnsi="Times New Roman" w:cs="Times New Roman"/>
          <w:sz w:val="22"/>
          <w:szCs w:val="22"/>
        </w:rPr>
        <w:t>08 декабря</w:t>
      </w:r>
      <w:r w:rsidR="00D456A5" w:rsidRPr="001B242A">
        <w:rPr>
          <w:rFonts w:ascii="Times New Roman" w:hAnsi="Times New Roman" w:cs="Times New Roman"/>
          <w:sz w:val="22"/>
          <w:szCs w:val="22"/>
        </w:rPr>
        <w:t xml:space="preserve"> 2023 г. в 11 часов 00</w:t>
      </w:r>
      <w:r w:rsidRPr="001B242A">
        <w:rPr>
          <w:rFonts w:ascii="Times New Roman" w:hAnsi="Times New Roman" w:cs="Times New Roman"/>
          <w:sz w:val="22"/>
          <w:szCs w:val="22"/>
        </w:rPr>
        <w:t xml:space="preserve"> минут.</w:t>
      </w:r>
    </w:p>
    <w:p w:rsidR="008C1841" w:rsidRPr="001B242A" w:rsidRDefault="008C1841" w:rsidP="008C1841">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Дата рассмотрения заявок на участие в электронном аукционе – </w:t>
      </w:r>
      <w:r w:rsidR="001B242A" w:rsidRPr="001B242A">
        <w:rPr>
          <w:rFonts w:ascii="Times New Roman" w:hAnsi="Times New Roman" w:cs="Times New Roman"/>
          <w:sz w:val="22"/>
          <w:szCs w:val="22"/>
        </w:rPr>
        <w:t>11 декабря</w:t>
      </w:r>
      <w:r w:rsidR="00F864C9" w:rsidRPr="001B242A">
        <w:rPr>
          <w:rFonts w:ascii="Times New Roman" w:hAnsi="Times New Roman" w:cs="Times New Roman"/>
          <w:sz w:val="22"/>
          <w:szCs w:val="22"/>
        </w:rPr>
        <w:t xml:space="preserve"> 2023 г</w:t>
      </w:r>
      <w:r w:rsidRPr="001B242A">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Дата, время и место проведения электронного аукциона – </w:t>
      </w:r>
      <w:r w:rsidR="001B242A" w:rsidRPr="001B242A">
        <w:rPr>
          <w:rFonts w:ascii="Times New Roman" w:hAnsi="Times New Roman" w:cs="Times New Roman"/>
          <w:sz w:val="22"/>
          <w:szCs w:val="22"/>
        </w:rPr>
        <w:t>13 декабря</w:t>
      </w:r>
      <w:r w:rsidR="00D456A5" w:rsidRPr="001B242A">
        <w:rPr>
          <w:rFonts w:ascii="Times New Roman" w:hAnsi="Times New Roman" w:cs="Times New Roman"/>
          <w:sz w:val="22"/>
          <w:szCs w:val="22"/>
        </w:rPr>
        <w:t xml:space="preserve"> 2023 г. в 09 часов 15</w:t>
      </w:r>
      <w:r w:rsidRPr="001B242A">
        <w:rPr>
          <w:rFonts w:ascii="Times New Roman" w:hAnsi="Times New Roman" w:cs="Times New Roman"/>
          <w:sz w:val="22"/>
          <w:szCs w:val="22"/>
        </w:rPr>
        <w:t xml:space="preserve"> минут </w:t>
      </w:r>
      <w:r w:rsidR="00A364C3" w:rsidRPr="001B242A">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9E71F3" w:rsidP="00B34E50">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Хохольский</w:t>
            </w:r>
            <w:r w:rsidR="00C168BB">
              <w:rPr>
                <w:rFonts w:ascii="Times New Roman" w:hAnsi="Times New Roman" w:cs="Times New Roman"/>
                <w:b/>
                <w:bCs/>
                <w:sz w:val="22"/>
                <w:szCs w:val="22"/>
                <w:lang w:eastAsia="en-US"/>
              </w:rPr>
              <w:t xml:space="preserve"> </w:t>
            </w:r>
            <w:r w:rsidR="00624D82">
              <w:rPr>
                <w:rFonts w:ascii="Times New Roman" w:hAnsi="Times New Roman" w:cs="Times New Roman"/>
                <w:b/>
                <w:bCs/>
                <w:sz w:val="22"/>
                <w:szCs w:val="22"/>
                <w:lang w:eastAsia="en-US"/>
              </w:rPr>
              <w:t>район</w:t>
            </w:r>
            <w:r>
              <w:rPr>
                <w:rFonts w:ascii="Times New Roman" w:hAnsi="Times New Roman" w:cs="Times New Roman"/>
                <w:b/>
                <w:bCs/>
                <w:sz w:val="22"/>
                <w:szCs w:val="22"/>
                <w:lang w:eastAsia="en-US"/>
              </w:rPr>
              <w:t xml:space="preserve"> (Архангельское с/п)</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 </w:t>
            </w:r>
          </w:p>
        </w:tc>
      </w:tr>
      <w:tr w:rsidR="009E71F3"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D2346D" w:rsidRDefault="009E71F3" w:rsidP="009E71F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9E71F3" w:rsidRDefault="009E71F3" w:rsidP="009E71F3">
            <w:pPr>
              <w:jc w:val="center"/>
              <w:rPr>
                <w:rFonts w:ascii="Times New Roman" w:hAnsi="Times New Roman" w:cs="Times New Roman"/>
                <w:color w:val="000000"/>
                <w:sz w:val="22"/>
                <w:szCs w:val="22"/>
                <w:highlight w:val="yellow"/>
              </w:rPr>
            </w:pPr>
            <w:r w:rsidRPr="009E71F3">
              <w:rPr>
                <w:rFonts w:ascii="Times New Roman" w:hAnsi="Times New Roman" w:cs="Times New Roman"/>
                <w:color w:val="000000"/>
                <w:sz w:val="22"/>
                <w:szCs w:val="22"/>
              </w:rPr>
              <w:t>36:31:4000015:281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9E71F3" w:rsidRDefault="009E71F3" w:rsidP="009E71F3">
            <w:pPr>
              <w:jc w:val="center"/>
              <w:rPr>
                <w:rFonts w:ascii="Times New Roman" w:hAnsi="Times New Roman" w:cs="Times New Roman"/>
                <w:color w:val="000000"/>
                <w:sz w:val="22"/>
                <w:szCs w:val="22"/>
                <w:highlight w:val="yellow"/>
              </w:rPr>
            </w:pPr>
            <w:r w:rsidRPr="009E71F3">
              <w:rPr>
                <w:rFonts w:ascii="Times New Roman" w:hAnsi="Times New Roman" w:cs="Times New Roman"/>
                <w:color w:val="000000"/>
                <w:sz w:val="22"/>
                <w:szCs w:val="22"/>
              </w:rPr>
              <w:t>91 072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9E71F3" w:rsidRDefault="009E71F3" w:rsidP="009E71F3">
            <w:pPr>
              <w:jc w:val="both"/>
              <w:rPr>
                <w:rFonts w:ascii="Times New Roman" w:hAnsi="Times New Roman" w:cs="Times New Roman"/>
                <w:sz w:val="22"/>
                <w:szCs w:val="22"/>
              </w:rPr>
            </w:pPr>
            <w:r w:rsidRPr="009E71F3">
              <w:rPr>
                <w:rStyle w:val="fontstyle01"/>
                <w:rFonts w:ascii="Times New Roman" w:hAnsi="Times New Roman" w:cs="Times New Roman"/>
                <w:sz w:val="22"/>
                <w:szCs w:val="22"/>
              </w:rPr>
              <w:t>Воронежская область, Хохольский р-н, ТОО "Придонское"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04481A" w:rsidRDefault="0004481A" w:rsidP="009E71F3">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D2346D" w:rsidRDefault="009E71F3" w:rsidP="009E71F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7 104,00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1F3" w:rsidRPr="00D2346D" w:rsidRDefault="009E71F3" w:rsidP="009E71F3">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7 104,00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2</w:t>
            </w:r>
            <w:r w:rsidRPr="00800F95">
              <w:rPr>
                <w:rFonts w:ascii="Times New Roman" w:hAnsi="Times New Roman" w:cs="Times New Roman"/>
                <w:sz w:val="22"/>
                <w:szCs w:val="22"/>
                <w:lang w:eastAsia="en-US"/>
              </w:rPr>
              <w:t xml:space="preserve"> </w:t>
            </w:r>
          </w:p>
        </w:tc>
      </w:tr>
      <w:tr w:rsidR="0004481A"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9E71F3" w:rsidRDefault="0004481A" w:rsidP="0004481A">
            <w:pPr>
              <w:jc w:val="center"/>
              <w:rPr>
                <w:rFonts w:ascii="Times New Roman" w:hAnsi="Times New Roman" w:cs="Times New Roman"/>
                <w:color w:val="000000"/>
                <w:sz w:val="22"/>
                <w:szCs w:val="22"/>
                <w:highlight w:val="yellow"/>
              </w:rPr>
            </w:pPr>
            <w:r w:rsidRPr="009E71F3">
              <w:rPr>
                <w:rFonts w:ascii="Times New Roman" w:hAnsi="Times New Roman" w:cs="Times New Roman"/>
                <w:color w:val="000000"/>
                <w:sz w:val="22"/>
                <w:szCs w:val="22"/>
              </w:rPr>
              <w:t>36:31:4000015:283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9E71F3" w:rsidRDefault="0004481A" w:rsidP="0004481A">
            <w:pPr>
              <w:jc w:val="center"/>
              <w:rPr>
                <w:rFonts w:ascii="Times New Roman" w:hAnsi="Times New Roman" w:cs="Times New Roman"/>
                <w:color w:val="000000"/>
                <w:sz w:val="22"/>
                <w:szCs w:val="22"/>
                <w:highlight w:val="yellow"/>
              </w:rPr>
            </w:pPr>
            <w:r w:rsidRPr="009E71F3">
              <w:rPr>
                <w:rFonts w:ascii="Times New Roman" w:hAnsi="Times New Roman" w:cs="Times New Roman"/>
                <w:color w:val="000000"/>
                <w:sz w:val="22"/>
                <w:szCs w:val="22"/>
              </w:rPr>
              <w:t>87 481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9E71F3" w:rsidRDefault="0004481A" w:rsidP="0004481A">
            <w:pPr>
              <w:jc w:val="both"/>
              <w:rPr>
                <w:rFonts w:ascii="Times New Roman" w:hAnsi="Times New Roman" w:cs="Times New Roman"/>
                <w:sz w:val="22"/>
                <w:szCs w:val="22"/>
                <w:highlight w:val="yellow"/>
              </w:rPr>
            </w:pPr>
            <w:r w:rsidRPr="009E71F3">
              <w:rPr>
                <w:rFonts w:ascii="Times New Roman" w:hAnsi="Times New Roman" w:cs="Times New Roman"/>
                <w:sz w:val="22"/>
                <w:szCs w:val="22"/>
              </w:rPr>
              <w:t>Воронежская область, Хохольский р-н, ТОО "Придонское"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04481A" w:rsidRDefault="0004481A" w:rsidP="0004481A">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6 824,00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6 824,00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B42DE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sidR="00B42DEA">
              <w:rPr>
                <w:rFonts w:ascii="Times New Roman" w:hAnsi="Times New Roman" w:cs="Times New Roman"/>
                <w:sz w:val="22"/>
                <w:szCs w:val="22"/>
                <w:lang w:eastAsia="en-US"/>
              </w:rPr>
              <w:t>3</w:t>
            </w:r>
            <w:r w:rsidRPr="00800F95">
              <w:rPr>
                <w:rFonts w:ascii="Times New Roman" w:hAnsi="Times New Roman" w:cs="Times New Roman"/>
                <w:sz w:val="22"/>
                <w:szCs w:val="22"/>
                <w:lang w:eastAsia="en-US"/>
              </w:rPr>
              <w:t xml:space="preserve"> </w:t>
            </w:r>
          </w:p>
        </w:tc>
      </w:tr>
      <w:tr w:rsidR="0004481A"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B42DE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04481A">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9E71F3" w:rsidRDefault="0004481A" w:rsidP="0004481A">
            <w:pPr>
              <w:jc w:val="center"/>
              <w:rPr>
                <w:rFonts w:ascii="Times New Roman" w:hAnsi="Times New Roman" w:cs="Times New Roman"/>
                <w:color w:val="000000"/>
                <w:sz w:val="22"/>
                <w:szCs w:val="22"/>
                <w:highlight w:val="yellow"/>
              </w:rPr>
            </w:pPr>
            <w:r w:rsidRPr="009E71F3">
              <w:rPr>
                <w:rFonts w:ascii="Times New Roman" w:hAnsi="Times New Roman" w:cs="Times New Roman"/>
                <w:color w:val="000000"/>
                <w:sz w:val="22"/>
                <w:szCs w:val="22"/>
              </w:rPr>
              <w:t>36:31:4000016:285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9E71F3" w:rsidRDefault="0004481A" w:rsidP="0004481A">
            <w:pPr>
              <w:jc w:val="center"/>
              <w:rPr>
                <w:rFonts w:ascii="Times New Roman" w:hAnsi="Times New Roman" w:cs="Times New Roman"/>
                <w:color w:val="000000"/>
                <w:sz w:val="22"/>
                <w:szCs w:val="22"/>
                <w:highlight w:val="yellow"/>
              </w:rPr>
            </w:pPr>
            <w:r w:rsidRPr="009E71F3">
              <w:rPr>
                <w:rFonts w:ascii="Times New Roman" w:hAnsi="Times New Roman" w:cs="Times New Roman"/>
                <w:sz w:val="22"/>
                <w:szCs w:val="22"/>
              </w:rPr>
              <w:t>117 151*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9E71F3" w:rsidRDefault="0004481A" w:rsidP="0004481A">
            <w:pPr>
              <w:jc w:val="both"/>
              <w:rPr>
                <w:rFonts w:ascii="Times New Roman" w:hAnsi="Times New Roman" w:cs="Times New Roman"/>
                <w:sz w:val="22"/>
                <w:szCs w:val="22"/>
                <w:highlight w:val="yellow"/>
              </w:rPr>
            </w:pPr>
            <w:r w:rsidRPr="009E71F3">
              <w:rPr>
                <w:rFonts w:ascii="Times New Roman" w:hAnsi="Times New Roman" w:cs="Times New Roman"/>
                <w:sz w:val="22"/>
                <w:szCs w:val="22"/>
              </w:rPr>
              <w:t>Воронежская область, Хохольский р-н, ТОО "Придонское"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04481A" w:rsidRDefault="0004481A" w:rsidP="0004481A">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9 841,00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9 841,00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B42DE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sidR="00B42DEA">
              <w:rPr>
                <w:rFonts w:ascii="Times New Roman" w:hAnsi="Times New Roman" w:cs="Times New Roman"/>
                <w:sz w:val="22"/>
                <w:szCs w:val="22"/>
                <w:lang w:eastAsia="en-US"/>
              </w:rPr>
              <w:t>4</w:t>
            </w:r>
            <w:r w:rsidRPr="00800F95">
              <w:rPr>
                <w:rFonts w:ascii="Times New Roman" w:hAnsi="Times New Roman" w:cs="Times New Roman"/>
                <w:sz w:val="22"/>
                <w:szCs w:val="22"/>
                <w:lang w:eastAsia="en-US"/>
              </w:rPr>
              <w:t xml:space="preserve"> </w:t>
            </w:r>
          </w:p>
        </w:tc>
      </w:tr>
      <w:tr w:rsidR="0004481A"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B42DE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04481A">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04481A" w:rsidRDefault="0004481A" w:rsidP="0004481A">
            <w:pPr>
              <w:jc w:val="center"/>
              <w:rPr>
                <w:rFonts w:ascii="Times New Roman" w:hAnsi="Times New Roman" w:cs="Times New Roman"/>
                <w:color w:val="000000"/>
                <w:sz w:val="22"/>
                <w:szCs w:val="22"/>
                <w:highlight w:val="yellow"/>
              </w:rPr>
            </w:pPr>
            <w:r w:rsidRPr="0004481A">
              <w:rPr>
                <w:rFonts w:ascii="Times New Roman" w:hAnsi="Times New Roman" w:cs="Times New Roman"/>
                <w:color w:val="000000"/>
                <w:sz w:val="22"/>
                <w:szCs w:val="22"/>
              </w:rPr>
              <w:t>36:31:4000017:254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04481A" w:rsidRDefault="0004481A" w:rsidP="0004481A">
            <w:pPr>
              <w:jc w:val="center"/>
              <w:rPr>
                <w:rFonts w:ascii="Times New Roman" w:hAnsi="Times New Roman" w:cs="Times New Roman"/>
                <w:color w:val="000000"/>
                <w:sz w:val="22"/>
                <w:szCs w:val="22"/>
                <w:highlight w:val="yellow"/>
              </w:rPr>
            </w:pPr>
            <w:r w:rsidRPr="0004481A">
              <w:rPr>
                <w:rFonts w:ascii="Times New Roman" w:hAnsi="Times New Roman" w:cs="Times New Roman"/>
                <w:sz w:val="22"/>
                <w:szCs w:val="22"/>
              </w:rPr>
              <w:t>89 142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04481A" w:rsidRDefault="0004481A" w:rsidP="0004481A">
            <w:pPr>
              <w:jc w:val="both"/>
              <w:rPr>
                <w:rFonts w:ascii="Times New Roman" w:hAnsi="Times New Roman" w:cs="Times New Roman"/>
                <w:sz w:val="22"/>
                <w:szCs w:val="22"/>
                <w:highlight w:val="yellow"/>
              </w:rPr>
            </w:pPr>
            <w:r w:rsidRPr="0004481A">
              <w:rPr>
                <w:rFonts w:ascii="Times New Roman" w:hAnsi="Times New Roman" w:cs="Times New Roman"/>
                <w:sz w:val="22"/>
                <w:szCs w:val="22"/>
              </w:rPr>
              <w:t>Воронежская область, Хохольский р-н, ТОО "Придонское"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04481A" w:rsidRDefault="0004481A" w:rsidP="0004481A">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6 953,00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481A" w:rsidRPr="00D2346D" w:rsidRDefault="0004481A" w:rsidP="0004481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6 953,00</w:t>
            </w:r>
          </w:p>
        </w:tc>
      </w:tr>
    </w:tbl>
    <w:p w:rsidR="00934829" w:rsidRDefault="00934829" w:rsidP="00B42DEA">
      <w:pPr>
        <w:ind w:firstLine="709"/>
        <w:jc w:val="both"/>
        <w:rPr>
          <w:rFonts w:ascii="Times New Roman" w:hAnsi="Times New Roman" w:cs="Times New Roman"/>
          <w:sz w:val="22"/>
          <w:szCs w:val="22"/>
        </w:rPr>
      </w:pPr>
    </w:p>
    <w:p w:rsidR="005235DF" w:rsidRDefault="00474BBE" w:rsidP="00B42DEA">
      <w:pPr>
        <w:ind w:firstLine="709"/>
        <w:jc w:val="both"/>
        <w:rPr>
          <w:rFonts w:ascii="Times New Roman" w:hAnsi="Times New Roman" w:cs="Times New Roman"/>
          <w:sz w:val="22"/>
          <w:szCs w:val="22"/>
        </w:rPr>
      </w:pPr>
      <w:r w:rsidRPr="00934829">
        <w:rPr>
          <w:rFonts w:ascii="Times New Roman" w:hAnsi="Times New Roman" w:cs="Times New Roman"/>
          <w:sz w:val="22"/>
          <w:szCs w:val="22"/>
        </w:rPr>
        <w:t>«</w:t>
      </w:r>
      <w:r w:rsidR="0080135F" w:rsidRPr="00934829">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934829" w:rsidRPr="00934829" w:rsidRDefault="00934829" w:rsidP="00B42DEA">
      <w:pPr>
        <w:ind w:firstLine="709"/>
        <w:jc w:val="both"/>
        <w:rPr>
          <w:rFonts w:ascii="Times New Roman" w:hAnsi="Times New Roman" w:cs="Times New Roman"/>
          <w:sz w:val="22"/>
          <w:szCs w:val="22"/>
        </w:rPr>
      </w:pPr>
    </w:p>
    <w:p w:rsidR="005F29CB" w:rsidRPr="00934829" w:rsidRDefault="005F29CB" w:rsidP="005F29CB">
      <w:pPr>
        <w:ind w:firstLine="708"/>
        <w:jc w:val="both"/>
        <w:rPr>
          <w:rFonts w:ascii="Times New Roman" w:hAnsi="Times New Roman" w:cs="Times New Roman"/>
          <w:sz w:val="22"/>
          <w:szCs w:val="22"/>
        </w:rPr>
      </w:pPr>
      <w:r w:rsidRPr="00934829">
        <w:rPr>
          <w:rFonts w:ascii="Times New Roman" w:hAnsi="Times New Roman" w:cs="Times New Roman"/>
          <w:sz w:val="22"/>
          <w:szCs w:val="22"/>
        </w:rPr>
        <w:t>У земельных участков по лотам №№ 1-</w:t>
      </w:r>
      <w:r w:rsidR="00B42DEA" w:rsidRPr="00934829">
        <w:rPr>
          <w:rFonts w:ascii="Times New Roman" w:hAnsi="Times New Roman" w:cs="Times New Roman"/>
          <w:sz w:val="22"/>
          <w:szCs w:val="22"/>
        </w:rPr>
        <w:t>4</w:t>
      </w:r>
      <w:r w:rsidRPr="00934829">
        <w:rPr>
          <w:rFonts w:ascii="Times New Roman" w:hAnsi="Times New Roman" w:cs="Times New Roman"/>
          <w:sz w:val="22"/>
          <w:szCs w:val="22"/>
        </w:rPr>
        <w:t>:</w:t>
      </w:r>
    </w:p>
    <w:p w:rsidR="005F29CB" w:rsidRPr="00934829" w:rsidRDefault="005F29CB" w:rsidP="005F29CB">
      <w:pPr>
        <w:ind w:firstLine="708"/>
        <w:jc w:val="both"/>
        <w:rPr>
          <w:rFonts w:ascii="Times New Roman" w:hAnsi="Times New Roman" w:cs="Times New Roman"/>
          <w:sz w:val="22"/>
          <w:szCs w:val="22"/>
        </w:rPr>
      </w:pPr>
      <w:r w:rsidRPr="00934829">
        <w:rPr>
          <w:rFonts w:ascii="Times New Roman" w:hAnsi="Times New Roman" w:cs="Times New Roman"/>
          <w:sz w:val="22"/>
          <w:szCs w:val="22"/>
        </w:rPr>
        <w:t xml:space="preserve">Категория земель – земли сельскохозяйственного назначения. </w:t>
      </w:r>
    </w:p>
    <w:p w:rsidR="005F29CB" w:rsidRPr="00934829" w:rsidRDefault="005F29CB" w:rsidP="005F29CB">
      <w:pPr>
        <w:ind w:firstLine="709"/>
        <w:jc w:val="both"/>
        <w:rPr>
          <w:rFonts w:ascii="Times New Roman" w:hAnsi="Times New Roman" w:cs="Times New Roman"/>
          <w:sz w:val="22"/>
          <w:szCs w:val="22"/>
        </w:rPr>
      </w:pPr>
      <w:r w:rsidRPr="00934829">
        <w:rPr>
          <w:rFonts w:ascii="Times New Roman" w:hAnsi="Times New Roman" w:cs="Times New Roman"/>
          <w:sz w:val="22"/>
          <w:szCs w:val="22"/>
        </w:rPr>
        <w:t>Целевое назначение – сельскохозяйственное производство.</w:t>
      </w:r>
    </w:p>
    <w:p w:rsidR="005F29CB" w:rsidRPr="00934829" w:rsidRDefault="005F29CB" w:rsidP="005F29CB">
      <w:pPr>
        <w:tabs>
          <w:tab w:val="left" w:pos="6600"/>
        </w:tabs>
        <w:ind w:firstLine="709"/>
        <w:jc w:val="both"/>
        <w:rPr>
          <w:rFonts w:ascii="Times New Roman" w:hAnsi="Times New Roman" w:cs="Times New Roman"/>
          <w:sz w:val="22"/>
          <w:szCs w:val="22"/>
        </w:rPr>
      </w:pPr>
      <w:r w:rsidRPr="00934829">
        <w:rPr>
          <w:rFonts w:ascii="Times New Roman" w:hAnsi="Times New Roman" w:cs="Times New Roman"/>
          <w:sz w:val="22"/>
          <w:szCs w:val="22"/>
        </w:rPr>
        <w:t>Границы – описаны в кадастровых выписках земельных участков.</w:t>
      </w:r>
    </w:p>
    <w:p w:rsidR="005F29CB" w:rsidRPr="00934829" w:rsidRDefault="005F29CB" w:rsidP="005F29CB">
      <w:pPr>
        <w:tabs>
          <w:tab w:val="left" w:pos="6600"/>
        </w:tabs>
        <w:ind w:firstLine="709"/>
        <w:jc w:val="both"/>
        <w:rPr>
          <w:rFonts w:ascii="Times New Roman" w:hAnsi="Times New Roman" w:cs="Times New Roman"/>
          <w:sz w:val="22"/>
          <w:szCs w:val="22"/>
        </w:rPr>
      </w:pPr>
      <w:r w:rsidRPr="00934829">
        <w:rPr>
          <w:rFonts w:ascii="Times New Roman" w:hAnsi="Times New Roman" w:cs="Times New Roman"/>
          <w:sz w:val="22"/>
          <w:szCs w:val="22"/>
        </w:rPr>
        <w:t>Срок аренды земельных участков – 3 (три) года.</w:t>
      </w:r>
    </w:p>
    <w:p w:rsidR="005F29CB" w:rsidRPr="00934829" w:rsidRDefault="005F29CB" w:rsidP="005F29CB">
      <w:pPr>
        <w:ind w:firstLine="709"/>
        <w:jc w:val="both"/>
        <w:rPr>
          <w:rFonts w:ascii="Times New Roman" w:hAnsi="Times New Roman" w:cs="Times New Roman"/>
          <w:sz w:val="22"/>
          <w:szCs w:val="22"/>
        </w:rPr>
      </w:pPr>
      <w:r w:rsidRPr="00934829">
        <w:rPr>
          <w:rFonts w:ascii="Times New Roman" w:hAnsi="Times New Roman" w:cs="Times New Roman"/>
          <w:sz w:val="22"/>
          <w:szCs w:val="22"/>
        </w:rPr>
        <w:t>Обременения, ограничения:</w:t>
      </w:r>
    </w:p>
    <w:p w:rsidR="005F29CB" w:rsidRPr="00934829" w:rsidRDefault="0004481A" w:rsidP="005F29CB">
      <w:pPr>
        <w:ind w:firstLine="709"/>
        <w:jc w:val="both"/>
        <w:rPr>
          <w:rFonts w:ascii="Times New Roman" w:hAnsi="Times New Roman" w:cs="Times New Roman"/>
          <w:sz w:val="22"/>
          <w:szCs w:val="22"/>
        </w:rPr>
      </w:pPr>
      <w:r w:rsidRPr="00934829">
        <w:rPr>
          <w:rStyle w:val="fontstyle01"/>
          <w:rFonts w:ascii="Times New Roman" w:hAnsi="Times New Roman" w:cs="Times New Roman"/>
          <w:sz w:val="22"/>
          <w:szCs w:val="22"/>
        </w:rPr>
        <w:t>*</w:t>
      </w:r>
      <w:r w:rsidRPr="00934829">
        <w:rPr>
          <w:rFonts w:ascii="Times New Roman" w:hAnsi="Times New Roman" w:cs="Times New Roman"/>
          <w:sz w:val="22"/>
          <w:szCs w:val="22"/>
        </w:rPr>
        <w:t>Использование земельного участка возможно при условии соблюдения требований ст. 65 Водного кодекса Российской Федерации (</w:t>
      </w:r>
      <w:r w:rsidR="00B42DEA" w:rsidRPr="00934829">
        <w:rPr>
          <w:rFonts w:ascii="Times New Roman" w:hAnsi="Times New Roman" w:cs="Times New Roman"/>
          <w:sz w:val="22"/>
          <w:szCs w:val="22"/>
        </w:rPr>
        <w:t>водоохранная</w:t>
      </w:r>
      <w:r w:rsidRPr="00934829">
        <w:rPr>
          <w:rFonts w:ascii="Times New Roman" w:hAnsi="Times New Roman" w:cs="Times New Roman"/>
          <w:sz w:val="22"/>
          <w:szCs w:val="22"/>
        </w:rPr>
        <w:t xml:space="preserve"> зона реки Дон</w:t>
      </w:r>
      <w:r w:rsidR="00B42DEA" w:rsidRPr="00934829">
        <w:rPr>
          <w:rFonts w:ascii="Times New Roman" w:hAnsi="Times New Roman" w:cs="Times New Roman"/>
          <w:sz w:val="22"/>
          <w:szCs w:val="22"/>
        </w:rPr>
        <w:t>)</w:t>
      </w:r>
      <w:r w:rsidR="00934829" w:rsidRPr="00934829">
        <w:rPr>
          <w:rFonts w:ascii="Times New Roman" w:hAnsi="Times New Roman" w:cs="Times New Roman"/>
          <w:sz w:val="22"/>
          <w:szCs w:val="22"/>
        </w:rPr>
        <w:t>;</w:t>
      </w:r>
    </w:p>
    <w:p w:rsidR="00934829" w:rsidRPr="00934829" w:rsidRDefault="00934829" w:rsidP="00934829">
      <w:pPr>
        <w:widowControl/>
        <w:ind w:firstLine="708"/>
        <w:rPr>
          <w:rFonts w:ascii="Times New Roman" w:hAnsi="Times New Roman" w:cs="Times New Roman"/>
          <w:sz w:val="22"/>
          <w:szCs w:val="22"/>
        </w:rPr>
      </w:pPr>
      <w:r w:rsidRPr="00934829">
        <w:rPr>
          <w:rFonts w:ascii="Times New Roman" w:hAnsi="Times New Roman" w:cs="Times New Roman"/>
          <w:sz w:val="22"/>
          <w:szCs w:val="22"/>
        </w:rPr>
        <w:t>*З</w:t>
      </w:r>
      <w:r w:rsidRPr="00934829">
        <w:rPr>
          <w:rFonts w:ascii="Times New Roman" w:eastAsiaTheme="minorHAnsi" w:hAnsi="Times New Roman" w:cs="Times New Roman"/>
          <w:sz w:val="22"/>
          <w:szCs w:val="22"/>
          <w:lang w:eastAsia="en-US"/>
        </w:rPr>
        <w:t>емельный участок расположен в границах особо охраняемой природной территории, охотничьих угодий, лесничеств: Земельный участок расположен в границах: 36:00-15.9.</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934829">
          <w:pgSz w:w="16838" w:h="11906" w:orient="landscape"/>
          <w:pgMar w:top="567" w:right="851" w:bottom="1276" w:left="426" w:header="709" w:footer="709" w:gutter="0"/>
          <w:cols w:space="708"/>
          <w:docGrid w:linePitch="360"/>
        </w:sectPr>
      </w:pPr>
      <w:r w:rsidRPr="00934829">
        <w:rPr>
          <w:rFonts w:ascii="Times New Roman" w:hAnsi="Times New Roman" w:cs="Times New Roman"/>
          <w:sz w:val="22"/>
          <w:szCs w:val="22"/>
        </w:rPr>
        <w:t>С иными сведениями о предмете аукциона претенденты могут озна</w:t>
      </w:r>
      <w:r w:rsidR="00141412" w:rsidRPr="00934829">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1B242A">
        <w:rPr>
          <w:rFonts w:ascii="Times New Roman" w:hAnsi="Times New Roman" w:cs="Times New Roman"/>
          <w:b/>
          <w:sz w:val="22"/>
          <w:szCs w:val="22"/>
        </w:rPr>
        <w:t>77</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06677">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F9" w:rsidRDefault="00162AF9" w:rsidP="00F96993">
      <w:r>
        <w:separator/>
      </w:r>
    </w:p>
  </w:endnote>
  <w:endnote w:type="continuationSeparator" w:id="0">
    <w:p w:rsidR="00162AF9" w:rsidRDefault="00162AF9"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F9" w:rsidRDefault="00162AF9" w:rsidP="00F96993">
      <w:r>
        <w:separator/>
      </w:r>
    </w:p>
  </w:footnote>
  <w:footnote w:type="continuationSeparator" w:id="0">
    <w:p w:rsidR="00162AF9" w:rsidRDefault="00162AF9"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62AF9"/>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6F4C"/>
    <w:rsid w:val="003A7686"/>
    <w:rsid w:val="003D669E"/>
    <w:rsid w:val="003D7BA1"/>
    <w:rsid w:val="003E4A60"/>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65B5"/>
    <w:rsid w:val="006E19C4"/>
    <w:rsid w:val="006E1B3F"/>
    <w:rsid w:val="006E438C"/>
    <w:rsid w:val="006F0CC7"/>
    <w:rsid w:val="006F4687"/>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5EAE"/>
    <w:rsid w:val="00947FEB"/>
    <w:rsid w:val="0095025F"/>
    <w:rsid w:val="009508CA"/>
    <w:rsid w:val="00951744"/>
    <w:rsid w:val="00952FD1"/>
    <w:rsid w:val="00964C40"/>
    <w:rsid w:val="0096719F"/>
    <w:rsid w:val="00967ED9"/>
    <w:rsid w:val="00985F1C"/>
    <w:rsid w:val="00987D5B"/>
    <w:rsid w:val="009944B3"/>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4E50"/>
    <w:rsid w:val="00B35625"/>
    <w:rsid w:val="00B42DEA"/>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04ED"/>
    <w:rsid w:val="00CE566A"/>
    <w:rsid w:val="00CE66E0"/>
    <w:rsid w:val="00CE7268"/>
    <w:rsid w:val="00CF7886"/>
    <w:rsid w:val="00CF796C"/>
    <w:rsid w:val="00D02218"/>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84A202-7DFF-4964-B8E2-CCF6F7E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DBA18-CDF3-4F48-B57E-01CD2288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2023-11-07T08:59:00Z</cp:lastPrinted>
  <dcterms:created xsi:type="dcterms:W3CDTF">2023-11-09T06:56:00Z</dcterms:created>
  <dcterms:modified xsi:type="dcterms:W3CDTF">2023-11-09T06:56:00Z</dcterms:modified>
</cp:coreProperties>
</file>