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B60CE">
        <w:rPr>
          <w:b/>
          <w:sz w:val="22"/>
          <w:szCs w:val="22"/>
        </w:rPr>
        <w:t>214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5426DC">
        <w:rPr>
          <w:sz w:val="22"/>
          <w:szCs w:val="22"/>
        </w:rPr>
        <w:t>39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05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 w:rsidRPr="00224FB2">
        <w:rPr>
          <w:sz w:val="22"/>
          <w:szCs w:val="22"/>
        </w:rPr>
        <w:t>ПИ30</w:t>
      </w:r>
      <w:r w:rsidR="00224FB2" w:rsidRPr="00224FB2">
        <w:rPr>
          <w:sz w:val="22"/>
          <w:szCs w:val="22"/>
        </w:rPr>
        <w:t>5071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5426DC">
        <w:rPr>
          <w:sz w:val="22"/>
          <w:szCs w:val="22"/>
        </w:rPr>
        <w:t>05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4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426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6DC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5426DC">
              <w:rPr>
                <w:sz w:val="22"/>
                <w:szCs w:val="22"/>
              </w:rPr>
              <w:t>Луговское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426DC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6DC" w:rsidRPr="006722AF" w:rsidRDefault="005426DC" w:rsidP="005426DC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DC" w:rsidRPr="00D2346D" w:rsidRDefault="005426DC" w:rsidP="005426D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36:03:5200011:300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DC" w:rsidRPr="00D2346D" w:rsidRDefault="005426DC" w:rsidP="005426D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544 128* (</w:t>
            </w:r>
            <w:proofErr w:type="gramStart"/>
            <w:r w:rsidRPr="00341ABA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341ABA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DC" w:rsidRPr="005426DC" w:rsidRDefault="005426DC" w:rsidP="005426DC">
            <w:pPr>
              <w:jc w:val="both"/>
              <w:rPr>
                <w:sz w:val="22"/>
                <w:szCs w:val="22"/>
              </w:rPr>
            </w:pPr>
            <w:r w:rsidRPr="005426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область, р-н Богучарский, в границах </w:t>
            </w:r>
            <w:proofErr w:type="spellStart"/>
            <w:r w:rsidRPr="005426DC">
              <w:rPr>
                <w:rStyle w:val="fontstyle01"/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 w:rsidRPr="005426DC">
              <w:rPr>
                <w:rStyle w:val="fontstyle01"/>
                <w:rFonts w:ascii="Times New Roman" w:hAnsi="Times New Roman"/>
                <w:sz w:val="22"/>
                <w:szCs w:val="22"/>
              </w:rPr>
              <w:t>А"</w:t>
            </w:r>
            <w:proofErr w:type="gramEnd"/>
            <w:r w:rsidRPr="005426DC">
              <w:rPr>
                <w:rStyle w:val="fontstyle01"/>
                <w:rFonts w:ascii="Times New Roman" w:hAnsi="Times New Roman"/>
                <w:sz w:val="22"/>
                <w:szCs w:val="22"/>
              </w:rPr>
              <w:t>Родина</w:t>
            </w:r>
            <w:proofErr w:type="spellEnd"/>
            <w:r w:rsidRPr="005426DC">
              <w:rPr>
                <w:rStyle w:val="fontstyle01"/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DC" w:rsidRPr="005426DC" w:rsidRDefault="005426DC" w:rsidP="005426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6DC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426DC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426DC" w:rsidRPr="005426DC" w:rsidRDefault="005426DC" w:rsidP="005426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6DC">
              <w:rPr>
                <w:rFonts w:eastAsia="TimesNewRomanPSMT"/>
                <w:sz w:val="22"/>
                <w:szCs w:val="22"/>
                <w:lang w:eastAsia="en-US"/>
              </w:rPr>
              <w:t>36:03:5200011:300-36/073/2019-3</w:t>
            </w:r>
          </w:p>
          <w:p w:rsidR="005426DC" w:rsidRPr="005426DC" w:rsidRDefault="005426DC" w:rsidP="005426DC">
            <w:pPr>
              <w:jc w:val="center"/>
              <w:rPr>
                <w:sz w:val="22"/>
                <w:szCs w:val="22"/>
                <w:lang w:eastAsia="en-US"/>
              </w:rPr>
            </w:pPr>
            <w:r w:rsidRPr="005426DC">
              <w:rPr>
                <w:rFonts w:eastAsia="TimesNewRomanPSMT"/>
                <w:sz w:val="22"/>
                <w:szCs w:val="22"/>
                <w:lang w:eastAsia="en-US"/>
              </w:rPr>
              <w:t>11.07.2019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DC" w:rsidRPr="00D2346D" w:rsidRDefault="005426DC" w:rsidP="005426DC">
            <w:pPr>
              <w:jc w:val="center"/>
              <w:rPr>
                <w:sz w:val="22"/>
                <w:szCs w:val="22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39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341ABA">
              <w:rPr>
                <w:sz w:val="22"/>
                <w:szCs w:val="22"/>
                <w:lang w:eastAsia="en-US"/>
              </w:rPr>
              <w:t>993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DC" w:rsidRPr="00D2346D" w:rsidRDefault="005426DC" w:rsidP="005426DC">
            <w:pPr>
              <w:jc w:val="center"/>
              <w:rPr>
                <w:sz w:val="22"/>
                <w:szCs w:val="22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39 993,00</w:t>
            </w:r>
          </w:p>
        </w:tc>
      </w:tr>
    </w:tbl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5426DC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5426DC" w:rsidRDefault="005426DC" w:rsidP="005426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F90F45">
        <w:rPr>
          <w:sz w:val="22"/>
          <w:szCs w:val="22"/>
        </w:rPr>
        <w:t>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>
        <w:rPr>
          <w:sz w:val="22"/>
          <w:szCs w:val="22"/>
        </w:rPr>
        <w:t>.</w:t>
      </w:r>
      <w:r w:rsidRPr="00F90F45">
        <w:rPr>
          <w:sz w:val="22"/>
          <w:szCs w:val="22"/>
        </w:rPr>
        <w:t xml:space="preserve"> Содержание ограничения (обременения): Согласно ст. 6,</w:t>
      </w:r>
      <w:r>
        <w:rPr>
          <w:sz w:val="22"/>
          <w:szCs w:val="22"/>
        </w:rPr>
        <w:t xml:space="preserve"> </w:t>
      </w:r>
      <w:r w:rsidRPr="00F90F45">
        <w:rPr>
          <w:sz w:val="22"/>
          <w:szCs w:val="22"/>
        </w:rPr>
        <w:t>п.4 Водного кодекса РФ от 03.06.2006 г. №74-ФЗ</w:t>
      </w:r>
      <w:r>
        <w:rPr>
          <w:sz w:val="22"/>
          <w:szCs w:val="22"/>
        </w:rPr>
        <w:t>.</w:t>
      </w:r>
      <w:r w:rsidRPr="00F90F45">
        <w:rPr>
          <w:sz w:val="22"/>
          <w:szCs w:val="22"/>
        </w:rPr>
        <w:t xml:space="preserve"> Согласно ст. 6, п.5 Водного кодекса РФ от 03.06.2006 г. №74-ФЗ</w:t>
      </w:r>
      <w:r>
        <w:rPr>
          <w:sz w:val="22"/>
          <w:szCs w:val="22"/>
        </w:rPr>
        <w:t>.</w:t>
      </w:r>
      <w:r w:rsidRPr="00F90F45">
        <w:rPr>
          <w:sz w:val="22"/>
          <w:szCs w:val="22"/>
        </w:rPr>
        <w:t xml:space="preserve"> Бессрочно.</w:t>
      </w:r>
      <w:r>
        <w:rPr>
          <w:sz w:val="22"/>
          <w:szCs w:val="22"/>
        </w:rPr>
        <w:t xml:space="preserve"> </w:t>
      </w:r>
      <w:r w:rsidRPr="00F90F45">
        <w:rPr>
          <w:sz w:val="22"/>
          <w:szCs w:val="22"/>
        </w:rPr>
        <w:t>Реестровый номер границы: 36:03-6.557; Вид объекта реестра границ: Зона с особыми условиями использования территории;</w:t>
      </w:r>
      <w:r>
        <w:rPr>
          <w:sz w:val="22"/>
          <w:szCs w:val="22"/>
        </w:rPr>
        <w:t xml:space="preserve"> </w:t>
      </w:r>
      <w:r w:rsidRPr="00F90F45">
        <w:rPr>
          <w:sz w:val="22"/>
          <w:szCs w:val="22"/>
        </w:rPr>
        <w:t xml:space="preserve">Вид зоны по документу: </w:t>
      </w:r>
      <w:proofErr w:type="spellStart"/>
      <w:r w:rsidRPr="00F90F45">
        <w:rPr>
          <w:sz w:val="22"/>
          <w:szCs w:val="22"/>
        </w:rPr>
        <w:t>Водоохранная</w:t>
      </w:r>
      <w:proofErr w:type="spellEnd"/>
      <w:r w:rsidRPr="00F90F45">
        <w:rPr>
          <w:sz w:val="22"/>
          <w:szCs w:val="22"/>
        </w:rPr>
        <w:t xml:space="preserve"> зона реки </w:t>
      </w:r>
      <w:proofErr w:type="spellStart"/>
      <w:r w:rsidRPr="00F90F45">
        <w:rPr>
          <w:sz w:val="22"/>
          <w:szCs w:val="22"/>
        </w:rPr>
        <w:t>Богучарка</w:t>
      </w:r>
      <w:proofErr w:type="spellEnd"/>
      <w:r w:rsidRPr="00F90F45">
        <w:rPr>
          <w:sz w:val="22"/>
          <w:szCs w:val="22"/>
        </w:rPr>
        <w:t xml:space="preserve"> на территории Богучарского муниципального района Воронежской</w:t>
      </w:r>
      <w:r>
        <w:rPr>
          <w:sz w:val="22"/>
          <w:szCs w:val="22"/>
        </w:rPr>
        <w:t xml:space="preserve"> </w:t>
      </w:r>
      <w:r w:rsidRPr="00F90F45">
        <w:rPr>
          <w:sz w:val="22"/>
          <w:szCs w:val="22"/>
        </w:rPr>
        <w:t>области; Тип зоны: Зоны с особыми условиями использования территории</w:t>
      </w:r>
      <w:r>
        <w:rPr>
          <w:sz w:val="22"/>
          <w:szCs w:val="22"/>
        </w:rPr>
        <w:t>;</w:t>
      </w:r>
    </w:p>
    <w:p w:rsidR="005426DC" w:rsidRDefault="005426DC" w:rsidP="005426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весь - </w:t>
      </w:r>
      <w:r w:rsidRPr="007D2D41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7D2D41">
        <w:rPr>
          <w:sz w:val="22"/>
          <w:szCs w:val="22"/>
        </w:rPr>
        <w:t>Российской Федерации; Срок действия: не установлен</w:t>
      </w:r>
      <w:r>
        <w:rPr>
          <w:sz w:val="22"/>
          <w:szCs w:val="22"/>
        </w:rPr>
        <w:t>.</w:t>
      </w:r>
      <w:r w:rsidRPr="007D2D41">
        <w:rPr>
          <w:sz w:val="22"/>
          <w:szCs w:val="22"/>
        </w:rPr>
        <w:t xml:space="preserve"> Содержание ограничения (обременения): Согласно ст. 6,</w:t>
      </w:r>
      <w:r>
        <w:rPr>
          <w:sz w:val="22"/>
          <w:szCs w:val="22"/>
        </w:rPr>
        <w:t xml:space="preserve"> </w:t>
      </w:r>
      <w:r w:rsidRPr="007D2D41">
        <w:rPr>
          <w:sz w:val="22"/>
          <w:szCs w:val="22"/>
        </w:rPr>
        <w:t>п.4 Водного кодекса РФ от 03.06.2006 г. №74-ФЗ</w:t>
      </w:r>
      <w:r>
        <w:rPr>
          <w:sz w:val="22"/>
          <w:szCs w:val="22"/>
        </w:rPr>
        <w:t>.</w:t>
      </w:r>
      <w:r w:rsidRPr="007D2D41">
        <w:rPr>
          <w:sz w:val="22"/>
          <w:szCs w:val="22"/>
        </w:rPr>
        <w:t xml:space="preserve"> Согласно ст. 6, п.5 Водного кодекса РФ от 03.06.2006 г. №74-ФЗ</w:t>
      </w:r>
      <w:r>
        <w:rPr>
          <w:sz w:val="22"/>
          <w:szCs w:val="22"/>
        </w:rPr>
        <w:t xml:space="preserve">. </w:t>
      </w:r>
      <w:r w:rsidRPr="007D2D41">
        <w:rPr>
          <w:sz w:val="22"/>
          <w:szCs w:val="22"/>
        </w:rPr>
        <w:t>Бессрочно.</w:t>
      </w:r>
      <w:r>
        <w:rPr>
          <w:sz w:val="22"/>
          <w:szCs w:val="22"/>
        </w:rPr>
        <w:t xml:space="preserve"> </w:t>
      </w:r>
      <w:r w:rsidRPr="007D2D41">
        <w:rPr>
          <w:sz w:val="22"/>
          <w:szCs w:val="22"/>
        </w:rPr>
        <w:t>Реестровый номер границы: 36:03-6.558; Вид объекта реестра границ: Зона с особыми условиями использования территории;</w:t>
      </w:r>
      <w:r>
        <w:rPr>
          <w:sz w:val="22"/>
          <w:szCs w:val="22"/>
        </w:rPr>
        <w:t xml:space="preserve"> </w:t>
      </w:r>
      <w:r w:rsidRPr="007D2D41">
        <w:rPr>
          <w:sz w:val="22"/>
          <w:szCs w:val="22"/>
        </w:rPr>
        <w:t xml:space="preserve">Вид зоны по документу: Прибрежная защитная полоса реки </w:t>
      </w:r>
      <w:proofErr w:type="spellStart"/>
      <w:r w:rsidRPr="007D2D41">
        <w:rPr>
          <w:sz w:val="22"/>
          <w:szCs w:val="22"/>
        </w:rPr>
        <w:t>Богучарка</w:t>
      </w:r>
      <w:proofErr w:type="spellEnd"/>
      <w:r w:rsidRPr="007D2D41">
        <w:rPr>
          <w:sz w:val="22"/>
          <w:szCs w:val="22"/>
        </w:rPr>
        <w:t xml:space="preserve"> на территории Богучарского муниципального района</w:t>
      </w:r>
      <w:r>
        <w:rPr>
          <w:sz w:val="22"/>
          <w:szCs w:val="22"/>
        </w:rPr>
        <w:t xml:space="preserve"> </w:t>
      </w:r>
      <w:r w:rsidRPr="007D2D41">
        <w:rPr>
          <w:sz w:val="22"/>
          <w:szCs w:val="22"/>
        </w:rPr>
        <w:t>Воронежской области; Тип зоны: Зоны с особыми условиями использования территории</w:t>
      </w:r>
      <w:r>
        <w:rPr>
          <w:sz w:val="22"/>
          <w:szCs w:val="22"/>
        </w:rPr>
        <w:t>;</w:t>
      </w:r>
    </w:p>
    <w:p w:rsidR="005426DC" w:rsidRDefault="005426DC" w:rsidP="005426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земельного участка возможно при условии соблюдения требований п. 2 ст. 36, ст. 5.1 Федерального закона от 25.06.2002 №73-ФЗ «Об объектах культурного наследия (памятник истории и культуры) народов Российской Федерации2</w:t>
      </w:r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>а земном участке расположен ВОАН «Одиночный курган у х. Краснодар»;</w:t>
      </w:r>
    </w:p>
    <w:p w:rsidR="001A4C39" w:rsidRDefault="005426DC" w:rsidP="00102E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426DC">
        <w:rPr>
          <w:sz w:val="22"/>
          <w:szCs w:val="22"/>
        </w:rPr>
        <w:t>02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0133C6">
        <w:rPr>
          <w:sz w:val="22"/>
          <w:szCs w:val="22"/>
        </w:rPr>
        <w:t>213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8B7ACF">
        <w:rPr>
          <w:sz w:val="22"/>
          <w:szCs w:val="22"/>
        </w:rPr>
        <w:t>02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8B7ACF">
        <w:rPr>
          <w:sz w:val="22"/>
          <w:szCs w:val="22"/>
        </w:rPr>
        <w:t>Богучарского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8B7ACF">
        <w:rPr>
          <w:sz w:val="22"/>
          <w:szCs w:val="22"/>
        </w:rPr>
        <w:t>1</w:t>
      </w:r>
      <w:r w:rsidRPr="001A6880">
        <w:rPr>
          <w:sz w:val="22"/>
          <w:szCs w:val="22"/>
        </w:rPr>
        <w:t xml:space="preserve">, поступили и зарегистрированы </w:t>
      </w:r>
      <w:r w:rsidR="00383C7A">
        <w:rPr>
          <w:sz w:val="22"/>
          <w:szCs w:val="22"/>
        </w:rPr>
        <w:t xml:space="preserve">       </w:t>
      </w:r>
      <w:r w:rsidR="00383C7A" w:rsidRPr="00383C7A">
        <w:rPr>
          <w:sz w:val="22"/>
          <w:szCs w:val="22"/>
        </w:rPr>
        <w:t xml:space="preserve">10 </w:t>
      </w:r>
      <w:r w:rsidRPr="00383C7A">
        <w:rPr>
          <w:sz w:val="22"/>
          <w:szCs w:val="22"/>
        </w:rPr>
        <w:t>(</w:t>
      </w:r>
      <w:r w:rsidR="00383C7A" w:rsidRPr="00383C7A">
        <w:rPr>
          <w:sz w:val="22"/>
          <w:szCs w:val="22"/>
        </w:rPr>
        <w:t>десять</w:t>
      </w:r>
      <w:r w:rsidRPr="00383C7A">
        <w:rPr>
          <w:sz w:val="22"/>
          <w:szCs w:val="22"/>
        </w:rPr>
        <w:t>) заяв</w:t>
      </w:r>
      <w:r w:rsidR="00383C7A" w:rsidRPr="00383C7A">
        <w:rPr>
          <w:sz w:val="22"/>
          <w:szCs w:val="22"/>
        </w:rPr>
        <w:t>ок от физических лиц</w:t>
      </w:r>
      <w:r w:rsidR="001A6880" w:rsidRPr="00383C7A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8B7ACF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39 993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688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1A6880" w:rsidRDefault="001A6880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383C7A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383C7A" w:rsidRDefault="00383C7A" w:rsidP="008F56B7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25</w:t>
            </w:r>
            <w:r w:rsidR="001A6880" w:rsidRPr="00383C7A">
              <w:rPr>
                <w:bCs/>
                <w:sz w:val="22"/>
                <w:szCs w:val="22"/>
              </w:rPr>
              <w:t>.05.2023</w:t>
            </w:r>
          </w:p>
          <w:p w:rsidR="001A6880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19</w:t>
            </w:r>
            <w:r w:rsidR="001A6880" w:rsidRPr="00383C7A">
              <w:rPr>
                <w:bCs/>
                <w:sz w:val="22"/>
                <w:szCs w:val="22"/>
              </w:rPr>
              <w:t xml:space="preserve"> ч. </w:t>
            </w:r>
            <w:r w:rsidRPr="00383C7A">
              <w:rPr>
                <w:bCs/>
                <w:sz w:val="22"/>
                <w:szCs w:val="22"/>
              </w:rPr>
              <w:t>56</w:t>
            </w:r>
            <w:r w:rsidR="001A6880"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383C7A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1A6880" w:rsidRPr="00383C7A" w:rsidRDefault="00383C7A" w:rsidP="008F56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1A6880"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83C7A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4821CC" w:rsidRDefault="00383C7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4821CC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83C7A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83C7A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83C7A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383C7A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7A" w:rsidRPr="00383C7A" w:rsidRDefault="00383C7A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383C7A" w:rsidRPr="00383C7A" w:rsidRDefault="00383C7A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113A66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113A66" w:rsidRPr="00383C7A" w:rsidRDefault="00113A66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113A66" w:rsidRPr="00383C7A" w:rsidRDefault="00113A66" w:rsidP="00113A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113A66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113A66" w:rsidRPr="00383C7A" w:rsidRDefault="00113A66" w:rsidP="00113A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113A66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113A66" w:rsidRPr="00383C7A" w:rsidRDefault="00113A66" w:rsidP="00113A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113A66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113A66" w:rsidRPr="00383C7A" w:rsidRDefault="00113A66" w:rsidP="00113A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83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     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DE0E0F">
        <w:rPr>
          <w:b/>
          <w:sz w:val="22"/>
          <w:szCs w:val="22"/>
        </w:rPr>
        <w:t>1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13A66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383C7A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4821CC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113A66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bookmarkEnd w:id="1"/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5350CA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5350CA" w:rsidRDefault="0045135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</w:t>
      </w:r>
      <w:r w:rsidR="00F10481" w:rsidRPr="005350CA">
        <w:rPr>
          <w:sz w:val="22"/>
          <w:szCs w:val="22"/>
        </w:rPr>
        <w:t xml:space="preserve"> И.В.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</w:t>
      </w:r>
      <w:r w:rsidR="006722AF" w:rsidRPr="005350CA">
        <w:rPr>
          <w:sz w:val="22"/>
          <w:szCs w:val="22"/>
        </w:rPr>
        <w:tab/>
      </w:r>
      <w:r w:rsidR="006722AF" w:rsidRPr="005350CA">
        <w:rPr>
          <w:sz w:val="22"/>
          <w:szCs w:val="22"/>
        </w:rPr>
        <w:tab/>
        <w:t>________________</w:t>
      </w:r>
    </w:p>
    <w:p w:rsidR="006722AF" w:rsidRPr="005350CA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CAE4-F2A8-4224-A291-7A98ED4A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22</cp:revision>
  <cp:lastPrinted>2023-05-16T05:35:00Z</cp:lastPrinted>
  <dcterms:created xsi:type="dcterms:W3CDTF">2023-05-12T11:11:00Z</dcterms:created>
  <dcterms:modified xsi:type="dcterms:W3CDTF">2023-06-02T09:06:00Z</dcterms:modified>
</cp:coreProperties>
</file>